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6B94" w14:textId="5C6E818B" w:rsidR="00862988" w:rsidRPr="00A77459" w:rsidRDefault="00862988" w:rsidP="00A77459">
      <w:pPr>
        <w:ind w:left="-709"/>
        <w:rPr>
          <w:b/>
        </w:rPr>
      </w:pPr>
      <w:r w:rsidRPr="00CD2FE8">
        <w:rPr>
          <w:b/>
        </w:rPr>
        <w:t xml:space="preserve">Table </w:t>
      </w:r>
      <w:r>
        <w:rPr>
          <w:b/>
        </w:rPr>
        <w:t>One</w:t>
      </w:r>
      <w:r w:rsidRPr="00CD2FE8">
        <w:rPr>
          <w:b/>
        </w:rPr>
        <w:t xml:space="preserve"> - </w:t>
      </w:r>
      <w:r>
        <w:rPr>
          <w:rFonts w:ascii="Calibri" w:hAnsi="Calibri" w:cs="Times New Roman"/>
          <w:b/>
        </w:rPr>
        <w:t>High</w:t>
      </w:r>
      <w:r w:rsidRPr="00CD2FE8">
        <w:rPr>
          <w:rFonts w:ascii="Calibri" w:hAnsi="Calibri" w:cs="Times New Roman"/>
          <w:b/>
        </w:rPr>
        <w:t xml:space="preserve"> level </w:t>
      </w:r>
      <w:r>
        <w:rPr>
          <w:rFonts w:ascii="Calibri" w:hAnsi="Calibri" w:cs="Times New Roman"/>
          <w:b/>
        </w:rPr>
        <w:t xml:space="preserve">summary </w:t>
      </w:r>
      <w:r w:rsidRPr="00CD2FE8">
        <w:rPr>
          <w:rFonts w:ascii="Calibri" w:hAnsi="Calibri" w:cs="Times New Roman"/>
          <w:b/>
        </w:rPr>
        <w:t xml:space="preserve">of </w:t>
      </w:r>
      <w:r>
        <w:rPr>
          <w:rFonts w:ascii="Calibri" w:hAnsi="Calibri" w:cs="Times New Roman"/>
          <w:b/>
        </w:rPr>
        <w:t xml:space="preserve">the level of </w:t>
      </w:r>
      <w:r w:rsidRPr="00CD2FE8">
        <w:rPr>
          <w:rFonts w:ascii="Calibri" w:hAnsi="Calibri" w:cs="Times New Roman"/>
          <w:b/>
        </w:rPr>
        <w:t xml:space="preserve">engagement GIA Partners should </w:t>
      </w:r>
      <w:r>
        <w:rPr>
          <w:rFonts w:ascii="Calibri" w:hAnsi="Calibri" w:cs="Times New Roman"/>
          <w:b/>
        </w:rPr>
        <w:t xml:space="preserve">expect </w:t>
      </w:r>
      <w:r w:rsidR="00864739">
        <w:rPr>
          <w:rFonts w:ascii="Calibri" w:hAnsi="Calibri" w:cs="Times New Roman"/>
          <w:b/>
        </w:rPr>
        <w:t xml:space="preserve">from each other </w:t>
      </w:r>
      <w:r>
        <w:rPr>
          <w:rFonts w:ascii="Calibri" w:hAnsi="Calibri" w:cs="Times New Roman"/>
          <w:b/>
        </w:rPr>
        <w:t xml:space="preserve">for </w:t>
      </w:r>
      <w:r w:rsidRPr="00CD2FE8">
        <w:rPr>
          <w:rFonts w:ascii="Calibri" w:hAnsi="Calibri" w:cs="Times New Roman"/>
          <w:b/>
        </w:rPr>
        <w:t>each layer of the biosecurity system</w:t>
      </w:r>
      <w:bookmarkStart w:id="0" w:name="_GoBack"/>
      <w:bookmarkEnd w:id="0"/>
    </w:p>
    <w:p w14:paraId="6A18202E" w14:textId="5B8F2340" w:rsidR="006E57CC" w:rsidRPr="00064897" w:rsidRDefault="00B04C82" w:rsidP="00064897">
      <w:pPr>
        <w:tabs>
          <w:tab w:val="left" w:pos="2543"/>
        </w:tabs>
        <w:ind w:left="-709"/>
        <w:rPr>
          <w:rFonts w:ascii="Calibri" w:hAnsi="Calibri" w:cs="Times New Roman"/>
        </w:rPr>
      </w:pPr>
      <w:r>
        <w:rPr>
          <w:rFonts w:ascii="Calibri" w:hAnsi="Calibri" w:cs="Times New Roman"/>
        </w:rPr>
        <w:t>F</w:t>
      </w:r>
      <w:r w:rsidR="008D0E64">
        <w:rPr>
          <w:rFonts w:ascii="Calibri" w:hAnsi="Calibri" w:cs="Times New Roman"/>
        </w:rPr>
        <w:t xml:space="preserve">or a </w:t>
      </w:r>
      <w:r w:rsidR="00FB51F8">
        <w:rPr>
          <w:rFonts w:ascii="Calibri" w:hAnsi="Calibri" w:cs="Times New Roman"/>
        </w:rPr>
        <w:t xml:space="preserve">more detailed </w:t>
      </w:r>
      <w:r>
        <w:rPr>
          <w:rFonts w:ascii="Calibri" w:hAnsi="Calibri" w:cs="Times New Roman"/>
        </w:rPr>
        <w:t>bre</w:t>
      </w:r>
      <w:r w:rsidR="008D0E64">
        <w:rPr>
          <w:rFonts w:ascii="Calibri" w:hAnsi="Calibri" w:cs="Times New Roman"/>
        </w:rPr>
        <w:t>akdown of activities within each layer, and associated levels of engagement</w:t>
      </w:r>
      <w:r w:rsidR="00FB51F8">
        <w:rPr>
          <w:rFonts w:ascii="Calibri" w:hAnsi="Calibri" w:cs="Times New Roman"/>
        </w:rPr>
        <w:t xml:space="preserve"> for each,</w:t>
      </w:r>
      <w:r w:rsidR="008D0E64">
        <w:rPr>
          <w:rFonts w:ascii="Calibri" w:hAnsi="Calibri" w:cs="Times New Roman"/>
        </w:rPr>
        <w:t xml:space="preserve"> refer </w:t>
      </w:r>
      <w:hyperlink r:id="rId11" w:history="1">
        <w:r w:rsidR="008D0E64" w:rsidRPr="00B7369E">
          <w:rPr>
            <w:rStyle w:val="Hyperlink"/>
            <w:rFonts w:ascii="Calibri" w:hAnsi="Calibri" w:cs="Times New Roman"/>
            <w:highlight w:val="yellow"/>
          </w:rPr>
          <w:t>Table Two</w:t>
        </w:r>
      </w:hyperlink>
    </w:p>
    <w:tbl>
      <w:tblPr>
        <w:tblW w:w="218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67"/>
        <w:gridCol w:w="567"/>
        <w:gridCol w:w="567"/>
        <w:gridCol w:w="567"/>
        <w:gridCol w:w="567"/>
        <w:gridCol w:w="279"/>
        <w:gridCol w:w="425"/>
        <w:gridCol w:w="2835"/>
        <w:gridCol w:w="284"/>
        <w:gridCol w:w="10064"/>
      </w:tblGrid>
      <w:tr w:rsidR="006E57CC" w14:paraId="75BBBD41" w14:textId="77777777" w:rsidTr="009037C2">
        <w:trPr>
          <w:cantSplit/>
          <w:trHeight w:val="191"/>
          <w:tblHeader/>
        </w:trPr>
        <w:tc>
          <w:tcPr>
            <w:tcW w:w="5103" w:type="dxa"/>
            <w:vMerge w:val="restart"/>
            <w:shd w:val="clear" w:color="auto" w:fill="F3F3F3"/>
            <w:vAlign w:val="center"/>
          </w:tcPr>
          <w:p w14:paraId="45A1D854" w14:textId="760107EF" w:rsidR="006E57CC" w:rsidRPr="00627A49" w:rsidRDefault="006E57CC" w:rsidP="00B04C82">
            <w:pPr>
              <w:pStyle w:val="Default"/>
              <w:rPr>
                <w:rFonts w:asciiTheme="minorHAnsi" w:hAnsiTheme="minorHAnsi" w:cs="Arial"/>
                <w:b/>
                <w:color w:val="auto"/>
                <w:sz w:val="22"/>
                <w:szCs w:val="22"/>
              </w:rPr>
            </w:pPr>
            <w:r>
              <w:rPr>
                <w:rFonts w:asciiTheme="minorHAnsi" w:hAnsiTheme="minorHAnsi" w:cs="Arial"/>
                <w:b/>
                <w:bCs/>
                <w:color w:val="0070C0"/>
                <w:spacing w:val="20"/>
                <w:sz w:val="22"/>
                <w:szCs w:val="22"/>
              </w:rPr>
              <w:t>Biosecurity system layer</w:t>
            </w:r>
          </w:p>
        </w:tc>
        <w:tc>
          <w:tcPr>
            <w:tcW w:w="567" w:type="dxa"/>
            <w:vMerge w:val="restart"/>
            <w:shd w:val="clear" w:color="auto" w:fill="F3F3F3"/>
            <w:textDirection w:val="btLr"/>
            <w:vAlign w:val="center"/>
          </w:tcPr>
          <w:p w14:paraId="6CF4E6C7" w14:textId="77777777" w:rsidR="006E57CC" w:rsidRPr="00014B3E" w:rsidRDefault="006E57CC" w:rsidP="00B04C82">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vMerge w:val="restart"/>
            <w:shd w:val="clear" w:color="auto" w:fill="EAEAEA"/>
            <w:textDirection w:val="btLr"/>
            <w:vAlign w:val="center"/>
          </w:tcPr>
          <w:p w14:paraId="0A465F73" w14:textId="77777777" w:rsidR="006E57CC" w:rsidRPr="00014B3E" w:rsidRDefault="006E57CC" w:rsidP="00B04C82">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vMerge w:val="restart"/>
            <w:shd w:val="clear" w:color="auto" w:fill="EDEDED" w:themeFill="accent3" w:themeFillTint="33"/>
            <w:textDirection w:val="btLr"/>
            <w:vAlign w:val="center"/>
          </w:tcPr>
          <w:p w14:paraId="48C87BB2" w14:textId="77777777" w:rsidR="006E57CC" w:rsidRPr="00014B3E" w:rsidRDefault="006E57CC" w:rsidP="00B04C82">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vMerge w:val="restart"/>
            <w:shd w:val="clear" w:color="auto" w:fill="EAEAEA"/>
            <w:textDirection w:val="btLr"/>
            <w:vAlign w:val="center"/>
          </w:tcPr>
          <w:p w14:paraId="4E3E28FD" w14:textId="77777777" w:rsidR="006E57CC" w:rsidRPr="00014B3E" w:rsidRDefault="006E57CC" w:rsidP="00B04C82">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vMerge w:val="restart"/>
            <w:shd w:val="clear" w:color="auto" w:fill="F3F3F3"/>
            <w:textDirection w:val="btLr"/>
            <w:vAlign w:val="center"/>
          </w:tcPr>
          <w:p w14:paraId="41B75D22" w14:textId="77777777" w:rsidR="006E57CC" w:rsidRPr="00014B3E" w:rsidRDefault="006E57CC" w:rsidP="00B04C82">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279" w:type="dxa"/>
            <w:vMerge w:val="restart"/>
            <w:tcBorders>
              <w:right w:val="nil"/>
            </w:tcBorders>
            <w:shd w:val="clear" w:color="auto" w:fill="F3F3F3"/>
            <w:vAlign w:val="center"/>
          </w:tcPr>
          <w:p w14:paraId="4CC69653" w14:textId="51D9638F" w:rsidR="006E57CC" w:rsidRPr="00014B3E" w:rsidRDefault="006E57CC" w:rsidP="00B04C82">
            <w:pPr>
              <w:pStyle w:val="Default"/>
              <w:jc w:val="center"/>
              <w:rPr>
                <w:rFonts w:asciiTheme="minorHAnsi" w:hAnsiTheme="minorHAnsi" w:cs="Arial"/>
                <w:b/>
                <w:bCs/>
                <w:color w:val="0070C0"/>
                <w:sz w:val="20"/>
                <w:szCs w:val="20"/>
              </w:rPr>
            </w:pPr>
          </w:p>
        </w:tc>
        <w:tc>
          <w:tcPr>
            <w:tcW w:w="3260" w:type="dxa"/>
            <w:gridSpan w:val="2"/>
            <w:tcBorders>
              <w:left w:val="nil"/>
              <w:right w:val="nil"/>
            </w:tcBorders>
            <w:shd w:val="clear" w:color="auto" w:fill="F3F3F3"/>
            <w:vAlign w:val="center"/>
          </w:tcPr>
          <w:p w14:paraId="6EDA15E3" w14:textId="6B4BCAC5" w:rsidR="006E57CC" w:rsidRPr="00014B3E" w:rsidRDefault="006E57CC" w:rsidP="006E57CC">
            <w:pPr>
              <w:pStyle w:val="Default"/>
              <w:rPr>
                <w:rFonts w:asciiTheme="minorHAnsi" w:hAnsiTheme="minorHAnsi" w:cs="Arial"/>
                <w:b/>
                <w:bCs/>
                <w:color w:val="0070C0"/>
                <w:sz w:val="20"/>
                <w:szCs w:val="20"/>
              </w:rPr>
            </w:pPr>
          </w:p>
        </w:tc>
        <w:tc>
          <w:tcPr>
            <w:tcW w:w="284" w:type="dxa"/>
            <w:vMerge w:val="restart"/>
            <w:tcBorders>
              <w:left w:val="nil"/>
              <w:right w:val="nil"/>
            </w:tcBorders>
            <w:shd w:val="clear" w:color="auto" w:fill="F3F3F3"/>
            <w:vAlign w:val="center"/>
          </w:tcPr>
          <w:p w14:paraId="3F86988E" w14:textId="77777777" w:rsidR="006E57CC" w:rsidRPr="00014B3E" w:rsidRDefault="006E57CC" w:rsidP="00B04C82">
            <w:pPr>
              <w:pStyle w:val="Default"/>
              <w:jc w:val="center"/>
              <w:rPr>
                <w:rFonts w:asciiTheme="minorHAnsi" w:hAnsiTheme="minorHAnsi" w:cs="Arial"/>
                <w:b/>
                <w:bCs/>
                <w:color w:val="0070C0"/>
                <w:sz w:val="20"/>
                <w:szCs w:val="20"/>
              </w:rPr>
            </w:pPr>
          </w:p>
        </w:tc>
        <w:tc>
          <w:tcPr>
            <w:tcW w:w="10064" w:type="dxa"/>
            <w:vMerge w:val="restart"/>
            <w:tcBorders>
              <w:left w:val="nil"/>
            </w:tcBorders>
            <w:shd w:val="clear" w:color="auto" w:fill="F3F3F3"/>
            <w:vAlign w:val="center"/>
          </w:tcPr>
          <w:p w14:paraId="327CB86B" w14:textId="67358DEF" w:rsidR="006E57CC" w:rsidRPr="00014B3E" w:rsidRDefault="006E57CC" w:rsidP="006E57CC">
            <w:pPr>
              <w:pStyle w:val="Default"/>
              <w:rPr>
                <w:rFonts w:asciiTheme="minorHAnsi" w:hAnsiTheme="minorHAnsi" w:cs="Arial"/>
                <w:b/>
                <w:bCs/>
                <w:color w:val="0070C0"/>
                <w:sz w:val="20"/>
                <w:szCs w:val="20"/>
              </w:rPr>
            </w:pPr>
            <w:r>
              <w:rPr>
                <w:rFonts w:asciiTheme="minorHAnsi" w:hAnsiTheme="minorHAnsi" w:cs="Arial"/>
                <w:b/>
                <w:bCs/>
                <w:color w:val="0070C0"/>
                <w:spacing w:val="20"/>
                <w:sz w:val="22"/>
                <w:szCs w:val="22"/>
              </w:rPr>
              <w:t xml:space="preserve">                   COMMENTS</w:t>
            </w:r>
          </w:p>
        </w:tc>
      </w:tr>
      <w:tr w:rsidR="006E57CC" w14:paraId="5C8AC25E" w14:textId="77777777" w:rsidTr="009037C2">
        <w:trPr>
          <w:cantSplit/>
          <w:trHeight w:val="190"/>
          <w:tblHeader/>
        </w:trPr>
        <w:tc>
          <w:tcPr>
            <w:tcW w:w="5103" w:type="dxa"/>
            <w:vMerge/>
            <w:shd w:val="clear" w:color="auto" w:fill="F3F3F3"/>
            <w:vAlign w:val="center"/>
          </w:tcPr>
          <w:p w14:paraId="5FA05FAD" w14:textId="77777777" w:rsidR="006E57CC" w:rsidRDefault="006E57CC" w:rsidP="00B04C82">
            <w:pPr>
              <w:pStyle w:val="Default"/>
              <w:rPr>
                <w:rFonts w:asciiTheme="minorHAnsi" w:hAnsiTheme="minorHAnsi" w:cs="Arial"/>
                <w:b/>
                <w:bCs/>
                <w:color w:val="0070C0"/>
                <w:spacing w:val="20"/>
                <w:sz w:val="22"/>
                <w:szCs w:val="22"/>
              </w:rPr>
            </w:pPr>
          </w:p>
        </w:tc>
        <w:tc>
          <w:tcPr>
            <w:tcW w:w="567" w:type="dxa"/>
            <w:vMerge/>
            <w:shd w:val="clear" w:color="auto" w:fill="F3F3F3"/>
            <w:textDirection w:val="btLr"/>
            <w:vAlign w:val="center"/>
          </w:tcPr>
          <w:p w14:paraId="268366C3" w14:textId="77777777" w:rsidR="006E57CC" w:rsidRDefault="006E57CC" w:rsidP="00B04C82">
            <w:pPr>
              <w:pStyle w:val="Default"/>
              <w:ind w:left="113" w:right="113"/>
              <w:jc w:val="center"/>
              <w:rPr>
                <w:rFonts w:asciiTheme="minorHAnsi" w:hAnsiTheme="minorHAnsi" w:cs="Arial"/>
                <w:b/>
                <w:bCs/>
                <w:color w:val="0070C0"/>
                <w:sz w:val="20"/>
                <w:szCs w:val="20"/>
              </w:rPr>
            </w:pPr>
          </w:p>
        </w:tc>
        <w:tc>
          <w:tcPr>
            <w:tcW w:w="567" w:type="dxa"/>
            <w:vMerge/>
            <w:shd w:val="clear" w:color="auto" w:fill="EAEAEA"/>
            <w:textDirection w:val="btLr"/>
            <w:vAlign w:val="center"/>
          </w:tcPr>
          <w:p w14:paraId="1A0A046F" w14:textId="77777777" w:rsidR="006E57CC" w:rsidRDefault="006E57CC" w:rsidP="00B04C82">
            <w:pPr>
              <w:pStyle w:val="Default"/>
              <w:ind w:left="113" w:right="113"/>
              <w:jc w:val="center"/>
              <w:rPr>
                <w:rFonts w:asciiTheme="minorHAnsi" w:hAnsiTheme="minorHAnsi" w:cs="Arial"/>
                <w:b/>
                <w:bCs/>
                <w:color w:val="0070C0"/>
                <w:sz w:val="20"/>
                <w:szCs w:val="20"/>
              </w:rPr>
            </w:pPr>
          </w:p>
        </w:tc>
        <w:tc>
          <w:tcPr>
            <w:tcW w:w="567" w:type="dxa"/>
            <w:vMerge/>
            <w:shd w:val="clear" w:color="auto" w:fill="EDEDED" w:themeFill="accent3" w:themeFillTint="33"/>
            <w:textDirection w:val="btLr"/>
            <w:vAlign w:val="center"/>
          </w:tcPr>
          <w:p w14:paraId="0D58D5A4" w14:textId="77777777" w:rsidR="006E57CC" w:rsidRDefault="006E57CC" w:rsidP="00B04C82">
            <w:pPr>
              <w:pStyle w:val="Default"/>
              <w:ind w:left="113" w:right="113"/>
              <w:jc w:val="center"/>
              <w:rPr>
                <w:rFonts w:asciiTheme="minorHAnsi" w:hAnsiTheme="minorHAnsi" w:cs="Arial"/>
                <w:b/>
                <w:bCs/>
                <w:color w:val="0070C0"/>
                <w:sz w:val="20"/>
                <w:szCs w:val="20"/>
              </w:rPr>
            </w:pPr>
          </w:p>
        </w:tc>
        <w:tc>
          <w:tcPr>
            <w:tcW w:w="567" w:type="dxa"/>
            <w:vMerge/>
            <w:shd w:val="clear" w:color="auto" w:fill="EAEAEA"/>
            <w:textDirection w:val="btLr"/>
            <w:vAlign w:val="center"/>
          </w:tcPr>
          <w:p w14:paraId="2408BAB7" w14:textId="77777777" w:rsidR="006E57CC" w:rsidRDefault="006E57CC" w:rsidP="00B04C82">
            <w:pPr>
              <w:pStyle w:val="Default"/>
              <w:ind w:left="113" w:right="113"/>
              <w:jc w:val="center"/>
              <w:rPr>
                <w:rFonts w:asciiTheme="minorHAnsi" w:hAnsiTheme="minorHAnsi" w:cs="Arial"/>
                <w:b/>
                <w:bCs/>
                <w:color w:val="0070C0"/>
                <w:sz w:val="20"/>
                <w:szCs w:val="20"/>
              </w:rPr>
            </w:pPr>
          </w:p>
        </w:tc>
        <w:tc>
          <w:tcPr>
            <w:tcW w:w="567" w:type="dxa"/>
            <w:vMerge/>
            <w:shd w:val="clear" w:color="auto" w:fill="F3F3F3"/>
            <w:textDirection w:val="btLr"/>
            <w:vAlign w:val="center"/>
          </w:tcPr>
          <w:p w14:paraId="7DEFB28D" w14:textId="77777777" w:rsidR="006E57CC" w:rsidRDefault="006E57CC" w:rsidP="00B04C82">
            <w:pPr>
              <w:pStyle w:val="Default"/>
              <w:ind w:left="113" w:right="113"/>
              <w:jc w:val="center"/>
              <w:rPr>
                <w:rFonts w:asciiTheme="minorHAnsi" w:hAnsiTheme="minorHAnsi" w:cs="Arial"/>
                <w:b/>
                <w:bCs/>
                <w:color w:val="0070C0"/>
                <w:sz w:val="20"/>
                <w:szCs w:val="20"/>
              </w:rPr>
            </w:pPr>
          </w:p>
        </w:tc>
        <w:tc>
          <w:tcPr>
            <w:tcW w:w="279" w:type="dxa"/>
            <w:vMerge/>
            <w:tcBorders>
              <w:bottom w:val="nil"/>
            </w:tcBorders>
            <w:shd w:val="clear" w:color="auto" w:fill="F3F3F3"/>
            <w:vAlign w:val="center"/>
          </w:tcPr>
          <w:p w14:paraId="6FA1D4A3" w14:textId="77777777" w:rsidR="006E57CC" w:rsidRDefault="006E57CC" w:rsidP="00B04C82">
            <w:pPr>
              <w:pStyle w:val="Default"/>
              <w:jc w:val="center"/>
              <w:rPr>
                <w:rFonts w:asciiTheme="minorHAnsi" w:hAnsiTheme="minorHAnsi" w:cs="Arial"/>
                <w:b/>
                <w:bCs/>
                <w:color w:val="0070C0"/>
                <w:sz w:val="20"/>
                <w:szCs w:val="20"/>
              </w:rPr>
            </w:pPr>
          </w:p>
        </w:tc>
        <w:tc>
          <w:tcPr>
            <w:tcW w:w="3260" w:type="dxa"/>
            <w:gridSpan w:val="2"/>
            <w:shd w:val="clear" w:color="auto" w:fill="F3F3F3"/>
            <w:vAlign w:val="center"/>
          </w:tcPr>
          <w:p w14:paraId="2E677684" w14:textId="10E9DF41" w:rsidR="006E57CC" w:rsidRDefault="006E57CC" w:rsidP="006E57CC">
            <w:pPr>
              <w:pStyle w:val="Default"/>
              <w:rPr>
                <w:rFonts w:asciiTheme="minorHAnsi" w:hAnsiTheme="minorHAnsi" w:cs="Arial"/>
                <w:b/>
                <w:bCs/>
                <w:color w:val="0070C0"/>
                <w:sz w:val="20"/>
                <w:szCs w:val="20"/>
              </w:rPr>
            </w:pPr>
            <w:r>
              <w:rPr>
                <w:rFonts w:asciiTheme="minorHAnsi" w:hAnsiTheme="minorHAnsi" w:cs="Arial"/>
                <w:b/>
                <w:bCs/>
                <w:color w:val="auto"/>
                <w:sz w:val="20"/>
                <w:szCs w:val="20"/>
              </w:rPr>
              <w:t xml:space="preserve">ENGAGEMENT </w:t>
            </w:r>
            <w:r w:rsidRPr="006E57CC">
              <w:rPr>
                <w:rFonts w:asciiTheme="minorHAnsi" w:hAnsiTheme="minorHAnsi" w:cs="Arial"/>
                <w:b/>
                <w:bCs/>
                <w:color w:val="auto"/>
                <w:sz w:val="20"/>
                <w:szCs w:val="20"/>
              </w:rPr>
              <w:t>COLOUR KEY</w:t>
            </w:r>
          </w:p>
        </w:tc>
        <w:tc>
          <w:tcPr>
            <w:tcW w:w="284" w:type="dxa"/>
            <w:vMerge/>
            <w:tcBorders>
              <w:bottom w:val="nil"/>
              <w:right w:val="nil"/>
            </w:tcBorders>
            <w:shd w:val="clear" w:color="auto" w:fill="F3F3F3"/>
            <w:vAlign w:val="center"/>
          </w:tcPr>
          <w:p w14:paraId="523A5ED3" w14:textId="77777777" w:rsidR="006E57CC" w:rsidRDefault="006E57CC" w:rsidP="00B04C82">
            <w:pPr>
              <w:pStyle w:val="Default"/>
              <w:jc w:val="center"/>
              <w:rPr>
                <w:rFonts w:asciiTheme="minorHAnsi" w:hAnsiTheme="minorHAnsi" w:cs="Arial"/>
                <w:b/>
                <w:bCs/>
                <w:color w:val="0070C0"/>
                <w:sz w:val="20"/>
                <w:szCs w:val="20"/>
              </w:rPr>
            </w:pPr>
          </w:p>
        </w:tc>
        <w:tc>
          <w:tcPr>
            <w:tcW w:w="10064" w:type="dxa"/>
            <w:vMerge/>
            <w:tcBorders>
              <w:left w:val="nil"/>
            </w:tcBorders>
            <w:shd w:val="clear" w:color="auto" w:fill="F3F3F3"/>
            <w:vAlign w:val="center"/>
          </w:tcPr>
          <w:p w14:paraId="24549953" w14:textId="77777777" w:rsidR="006E57CC" w:rsidRDefault="006E57CC" w:rsidP="00B04C82">
            <w:pPr>
              <w:pStyle w:val="Default"/>
              <w:jc w:val="center"/>
              <w:rPr>
                <w:rFonts w:asciiTheme="minorHAnsi" w:hAnsiTheme="minorHAnsi" w:cs="Arial"/>
                <w:b/>
                <w:bCs/>
                <w:color w:val="0070C0"/>
                <w:spacing w:val="20"/>
                <w:sz w:val="22"/>
                <w:szCs w:val="22"/>
              </w:rPr>
            </w:pPr>
          </w:p>
        </w:tc>
      </w:tr>
      <w:tr w:rsidR="006E57CC" w14:paraId="1B0B7A13" w14:textId="77777777" w:rsidTr="009037C2">
        <w:trPr>
          <w:cantSplit/>
          <w:trHeight w:val="351"/>
          <w:tblHeader/>
        </w:trPr>
        <w:tc>
          <w:tcPr>
            <w:tcW w:w="5103" w:type="dxa"/>
            <w:vMerge/>
            <w:shd w:val="clear" w:color="auto" w:fill="F3F3F3"/>
            <w:vAlign w:val="center"/>
          </w:tcPr>
          <w:p w14:paraId="744E36F2" w14:textId="77777777" w:rsidR="006E57CC" w:rsidRDefault="006E57CC" w:rsidP="006E57CC">
            <w:pPr>
              <w:pStyle w:val="Default"/>
              <w:rPr>
                <w:rFonts w:asciiTheme="minorHAnsi" w:hAnsiTheme="minorHAnsi" w:cs="Arial"/>
                <w:b/>
                <w:bCs/>
                <w:color w:val="0070C0"/>
                <w:spacing w:val="20"/>
                <w:sz w:val="22"/>
                <w:szCs w:val="22"/>
              </w:rPr>
            </w:pPr>
          </w:p>
        </w:tc>
        <w:tc>
          <w:tcPr>
            <w:tcW w:w="567" w:type="dxa"/>
            <w:vMerge/>
            <w:shd w:val="clear" w:color="auto" w:fill="F3F3F3"/>
            <w:textDirection w:val="btLr"/>
            <w:vAlign w:val="center"/>
          </w:tcPr>
          <w:p w14:paraId="779ECF88" w14:textId="77777777" w:rsidR="006E57CC" w:rsidRPr="00014B3E"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EAEAEA"/>
            <w:textDirection w:val="btLr"/>
            <w:vAlign w:val="center"/>
          </w:tcPr>
          <w:p w14:paraId="228C8AB8"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EDEDED" w:themeFill="accent3" w:themeFillTint="33"/>
            <w:textDirection w:val="btLr"/>
            <w:vAlign w:val="center"/>
          </w:tcPr>
          <w:p w14:paraId="04B2877E"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EAEAEA"/>
            <w:textDirection w:val="btLr"/>
            <w:vAlign w:val="center"/>
          </w:tcPr>
          <w:p w14:paraId="5004ADA9"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F3F3F3"/>
            <w:textDirection w:val="btLr"/>
            <w:vAlign w:val="center"/>
          </w:tcPr>
          <w:p w14:paraId="5E8711C5"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279" w:type="dxa"/>
            <w:tcBorders>
              <w:top w:val="nil"/>
              <w:bottom w:val="nil"/>
            </w:tcBorders>
            <w:shd w:val="clear" w:color="auto" w:fill="F3F3F3"/>
            <w:vAlign w:val="center"/>
          </w:tcPr>
          <w:p w14:paraId="20BBCD3A" w14:textId="33EC38A0" w:rsidR="006E57CC" w:rsidRDefault="006E57CC" w:rsidP="006E57CC">
            <w:pPr>
              <w:pStyle w:val="Default"/>
              <w:jc w:val="center"/>
              <w:rPr>
                <w:rFonts w:asciiTheme="minorHAnsi" w:hAnsiTheme="minorHAnsi" w:cs="Arial"/>
                <w:b/>
                <w:bCs/>
                <w:color w:val="0070C0"/>
                <w:sz w:val="20"/>
                <w:szCs w:val="20"/>
              </w:rPr>
            </w:pPr>
          </w:p>
        </w:tc>
        <w:tc>
          <w:tcPr>
            <w:tcW w:w="425" w:type="dxa"/>
            <w:shd w:val="clear" w:color="auto" w:fill="FFF2CC" w:themeFill="accent4" w:themeFillTint="33"/>
            <w:vAlign w:val="center"/>
          </w:tcPr>
          <w:p w14:paraId="5FBCDE12" w14:textId="383EB710" w:rsidR="006E57CC" w:rsidRDefault="006E57CC" w:rsidP="006E57CC">
            <w:pPr>
              <w:pStyle w:val="Default"/>
              <w:jc w:val="center"/>
              <w:rPr>
                <w:rFonts w:asciiTheme="minorHAnsi" w:hAnsiTheme="minorHAnsi" w:cs="Arial"/>
                <w:b/>
                <w:bCs/>
                <w:color w:val="0070C0"/>
                <w:sz w:val="20"/>
                <w:szCs w:val="20"/>
              </w:rPr>
            </w:pPr>
          </w:p>
        </w:tc>
        <w:tc>
          <w:tcPr>
            <w:tcW w:w="2835" w:type="dxa"/>
            <w:shd w:val="clear" w:color="auto" w:fill="F3F3F3"/>
            <w:vAlign w:val="center"/>
          </w:tcPr>
          <w:p w14:paraId="6BA034A0" w14:textId="16EAC483" w:rsidR="006E57CC" w:rsidRDefault="006E57CC" w:rsidP="006E57CC">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 stakeholders</w:t>
            </w:r>
          </w:p>
        </w:tc>
        <w:tc>
          <w:tcPr>
            <w:tcW w:w="284" w:type="dxa"/>
            <w:tcBorders>
              <w:top w:val="nil"/>
              <w:bottom w:val="nil"/>
              <w:right w:val="nil"/>
            </w:tcBorders>
            <w:shd w:val="clear" w:color="auto" w:fill="F3F3F3"/>
            <w:vAlign w:val="center"/>
          </w:tcPr>
          <w:p w14:paraId="7EC1A98D" w14:textId="4D7F8B8D" w:rsidR="006E57CC" w:rsidRDefault="006E57CC" w:rsidP="006E57CC">
            <w:pPr>
              <w:pStyle w:val="Default"/>
              <w:jc w:val="center"/>
              <w:rPr>
                <w:rFonts w:asciiTheme="minorHAnsi" w:hAnsiTheme="minorHAnsi" w:cs="Arial"/>
                <w:b/>
                <w:bCs/>
                <w:color w:val="0070C0"/>
                <w:sz w:val="20"/>
                <w:szCs w:val="20"/>
              </w:rPr>
            </w:pPr>
          </w:p>
        </w:tc>
        <w:tc>
          <w:tcPr>
            <w:tcW w:w="10064" w:type="dxa"/>
            <w:vMerge/>
            <w:tcBorders>
              <w:left w:val="nil"/>
            </w:tcBorders>
            <w:shd w:val="clear" w:color="auto" w:fill="F3F3F3"/>
            <w:vAlign w:val="center"/>
          </w:tcPr>
          <w:p w14:paraId="66927125" w14:textId="77777777" w:rsidR="006E57CC" w:rsidRDefault="006E57CC" w:rsidP="006E57CC">
            <w:pPr>
              <w:pStyle w:val="Default"/>
              <w:jc w:val="center"/>
              <w:rPr>
                <w:rFonts w:asciiTheme="minorHAnsi" w:hAnsiTheme="minorHAnsi" w:cs="Arial"/>
                <w:b/>
                <w:bCs/>
                <w:color w:val="0070C0"/>
                <w:spacing w:val="20"/>
                <w:sz w:val="22"/>
                <w:szCs w:val="22"/>
              </w:rPr>
            </w:pPr>
          </w:p>
        </w:tc>
      </w:tr>
      <w:tr w:rsidR="006E57CC" w14:paraId="66F2F346" w14:textId="77777777" w:rsidTr="009037C2">
        <w:trPr>
          <w:cantSplit/>
          <w:trHeight w:val="351"/>
          <w:tblHeader/>
        </w:trPr>
        <w:tc>
          <w:tcPr>
            <w:tcW w:w="5103" w:type="dxa"/>
            <w:vMerge/>
            <w:shd w:val="clear" w:color="auto" w:fill="F3F3F3"/>
            <w:vAlign w:val="center"/>
          </w:tcPr>
          <w:p w14:paraId="2256F861" w14:textId="77777777" w:rsidR="006E57CC" w:rsidRDefault="006E57CC" w:rsidP="006E57CC">
            <w:pPr>
              <w:pStyle w:val="Default"/>
              <w:rPr>
                <w:rFonts w:asciiTheme="minorHAnsi" w:hAnsiTheme="minorHAnsi" w:cs="Arial"/>
                <w:b/>
                <w:bCs/>
                <w:color w:val="0070C0"/>
                <w:spacing w:val="20"/>
                <w:sz w:val="22"/>
                <w:szCs w:val="22"/>
              </w:rPr>
            </w:pPr>
          </w:p>
        </w:tc>
        <w:tc>
          <w:tcPr>
            <w:tcW w:w="567" w:type="dxa"/>
            <w:vMerge/>
            <w:shd w:val="clear" w:color="auto" w:fill="F3F3F3"/>
            <w:textDirection w:val="btLr"/>
            <w:vAlign w:val="center"/>
          </w:tcPr>
          <w:p w14:paraId="7D837408" w14:textId="77777777" w:rsidR="006E57CC" w:rsidRPr="00014B3E"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EAEAEA"/>
            <w:textDirection w:val="btLr"/>
            <w:vAlign w:val="center"/>
          </w:tcPr>
          <w:p w14:paraId="37074C18"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EDEDED" w:themeFill="accent3" w:themeFillTint="33"/>
            <w:textDirection w:val="btLr"/>
            <w:vAlign w:val="center"/>
          </w:tcPr>
          <w:p w14:paraId="2DFF11DB"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EAEAEA"/>
            <w:textDirection w:val="btLr"/>
            <w:vAlign w:val="center"/>
          </w:tcPr>
          <w:p w14:paraId="2D5CCFEF"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F3F3F3"/>
            <w:textDirection w:val="btLr"/>
            <w:vAlign w:val="center"/>
          </w:tcPr>
          <w:p w14:paraId="5CA1C157"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279" w:type="dxa"/>
            <w:tcBorders>
              <w:top w:val="nil"/>
              <w:bottom w:val="nil"/>
            </w:tcBorders>
            <w:shd w:val="clear" w:color="auto" w:fill="F3F3F3"/>
            <w:vAlign w:val="center"/>
          </w:tcPr>
          <w:p w14:paraId="06BFFE9F" w14:textId="4E9D7CDC" w:rsidR="006E57CC" w:rsidRDefault="006E57CC" w:rsidP="006E57CC">
            <w:pPr>
              <w:pStyle w:val="Default"/>
              <w:jc w:val="center"/>
              <w:rPr>
                <w:rFonts w:asciiTheme="minorHAnsi" w:hAnsiTheme="minorHAnsi" w:cs="Arial"/>
                <w:b/>
                <w:bCs/>
                <w:color w:val="0070C0"/>
                <w:sz w:val="20"/>
                <w:szCs w:val="20"/>
              </w:rPr>
            </w:pPr>
          </w:p>
        </w:tc>
        <w:tc>
          <w:tcPr>
            <w:tcW w:w="425" w:type="dxa"/>
            <w:tcBorders>
              <w:bottom w:val="single" w:sz="4" w:space="0" w:color="auto"/>
            </w:tcBorders>
            <w:shd w:val="clear" w:color="auto" w:fill="FFD966" w:themeFill="accent4" w:themeFillTint="99"/>
            <w:vAlign w:val="center"/>
          </w:tcPr>
          <w:p w14:paraId="0E97DA34" w14:textId="4C3E2469" w:rsidR="006E57CC" w:rsidRDefault="006E57CC" w:rsidP="006E57CC">
            <w:pPr>
              <w:pStyle w:val="Default"/>
              <w:jc w:val="center"/>
              <w:rPr>
                <w:rFonts w:asciiTheme="minorHAnsi" w:hAnsiTheme="minorHAnsi" w:cs="Arial"/>
                <w:b/>
                <w:bCs/>
                <w:color w:val="0070C0"/>
                <w:sz w:val="20"/>
                <w:szCs w:val="20"/>
              </w:rPr>
            </w:pPr>
          </w:p>
        </w:tc>
        <w:tc>
          <w:tcPr>
            <w:tcW w:w="2835" w:type="dxa"/>
            <w:tcBorders>
              <w:bottom w:val="single" w:sz="4" w:space="0" w:color="auto"/>
            </w:tcBorders>
            <w:shd w:val="clear" w:color="auto" w:fill="F3F3F3"/>
            <w:vAlign w:val="center"/>
          </w:tcPr>
          <w:p w14:paraId="729AB875" w14:textId="52CF9C2E" w:rsidR="006E57CC" w:rsidRDefault="006E57CC" w:rsidP="006E57CC">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Pr>
                <w:rFonts w:asciiTheme="minorHAnsi" w:hAnsiTheme="minorHAnsi" w:cs="Arial"/>
                <w:bCs/>
                <w:color w:val="auto"/>
                <w:sz w:val="20"/>
                <w:szCs w:val="20"/>
              </w:rPr>
              <w:t>Partners</w:t>
            </w:r>
          </w:p>
        </w:tc>
        <w:tc>
          <w:tcPr>
            <w:tcW w:w="284" w:type="dxa"/>
            <w:tcBorders>
              <w:top w:val="nil"/>
              <w:bottom w:val="nil"/>
              <w:right w:val="nil"/>
            </w:tcBorders>
            <w:shd w:val="clear" w:color="auto" w:fill="F3F3F3"/>
            <w:vAlign w:val="center"/>
          </w:tcPr>
          <w:p w14:paraId="44830551" w14:textId="17120230" w:rsidR="006E57CC" w:rsidRDefault="006E57CC" w:rsidP="006E57CC">
            <w:pPr>
              <w:pStyle w:val="Default"/>
              <w:jc w:val="center"/>
              <w:rPr>
                <w:rFonts w:asciiTheme="minorHAnsi" w:hAnsiTheme="minorHAnsi" w:cs="Arial"/>
                <w:b/>
                <w:bCs/>
                <w:color w:val="0070C0"/>
                <w:sz w:val="20"/>
                <w:szCs w:val="20"/>
              </w:rPr>
            </w:pPr>
          </w:p>
        </w:tc>
        <w:tc>
          <w:tcPr>
            <w:tcW w:w="10064" w:type="dxa"/>
            <w:vMerge/>
            <w:tcBorders>
              <w:left w:val="nil"/>
            </w:tcBorders>
            <w:shd w:val="clear" w:color="auto" w:fill="F3F3F3"/>
            <w:vAlign w:val="center"/>
          </w:tcPr>
          <w:p w14:paraId="716FBEAD" w14:textId="77777777" w:rsidR="006E57CC" w:rsidRDefault="006E57CC" w:rsidP="006E57CC">
            <w:pPr>
              <w:pStyle w:val="Default"/>
              <w:jc w:val="center"/>
              <w:rPr>
                <w:rFonts w:asciiTheme="minorHAnsi" w:hAnsiTheme="minorHAnsi" w:cs="Arial"/>
                <w:b/>
                <w:bCs/>
                <w:color w:val="0070C0"/>
                <w:spacing w:val="20"/>
                <w:sz w:val="22"/>
                <w:szCs w:val="22"/>
              </w:rPr>
            </w:pPr>
          </w:p>
        </w:tc>
      </w:tr>
      <w:tr w:rsidR="006E57CC" w14:paraId="4C37BED4" w14:textId="77777777" w:rsidTr="009037C2">
        <w:trPr>
          <w:cantSplit/>
          <w:trHeight w:val="351"/>
          <w:tblHeader/>
        </w:trPr>
        <w:tc>
          <w:tcPr>
            <w:tcW w:w="5103" w:type="dxa"/>
            <w:vMerge/>
            <w:shd w:val="clear" w:color="auto" w:fill="F3F3F3"/>
            <w:vAlign w:val="center"/>
          </w:tcPr>
          <w:p w14:paraId="116BAB29" w14:textId="77777777" w:rsidR="006E57CC" w:rsidRDefault="006E57CC" w:rsidP="006E57CC">
            <w:pPr>
              <w:pStyle w:val="Default"/>
              <w:rPr>
                <w:rFonts w:asciiTheme="minorHAnsi" w:hAnsiTheme="minorHAnsi" w:cs="Arial"/>
                <w:b/>
                <w:bCs/>
                <w:color w:val="0070C0"/>
                <w:spacing w:val="20"/>
                <w:sz w:val="22"/>
                <w:szCs w:val="22"/>
              </w:rPr>
            </w:pPr>
          </w:p>
        </w:tc>
        <w:tc>
          <w:tcPr>
            <w:tcW w:w="567" w:type="dxa"/>
            <w:vMerge/>
            <w:shd w:val="clear" w:color="auto" w:fill="F3F3F3"/>
            <w:textDirection w:val="btLr"/>
            <w:vAlign w:val="center"/>
          </w:tcPr>
          <w:p w14:paraId="6A91F87E" w14:textId="77777777" w:rsidR="006E57CC" w:rsidRPr="00014B3E"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EAEAEA"/>
            <w:textDirection w:val="btLr"/>
            <w:vAlign w:val="center"/>
          </w:tcPr>
          <w:p w14:paraId="7CF6E73E"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EDEDED" w:themeFill="accent3" w:themeFillTint="33"/>
            <w:textDirection w:val="btLr"/>
            <w:vAlign w:val="center"/>
          </w:tcPr>
          <w:p w14:paraId="27121DD3"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EAEAEA"/>
            <w:textDirection w:val="btLr"/>
            <w:vAlign w:val="center"/>
          </w:tcPr>
          <w:p w14:paraId="7D0EFB7E"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567" w:type="dxa"/>
            <w:vMerge/>
            <w:shd w:val="clear" w:color="auto" w:fill="F3F3F3"/>
            <w:textDirection w:val="btLr"/>
            <w:vAlign w:val="center"/>
          </w:tcPr>
          <w:p w14:paraId="42D31ACB" w14:textId="77777777" w:rsidR="006E57CC" w:rsidRDefault="006E57CC" w:rsidP="006E57CC">
            <w:pPr>
              <w:pStyle w:val="Default"/>
              <w:ind w:left="113" w:right="113"/>
              <w:jc w:val="center"/>
              <w:rPr>
                <w:rFonts w:asciiTheme="minorHAnsi" w:hAnsiTheme="minorHAnsi" w:cs="Arial"/>
                <w:b/>
                <w:bCs/>
                <w:color w:val="0070C0"/>
                <w:sz w:val="20"/>
                <w:szCs w:val="20"/>
              </w:rPr>
            </w:pPr>
          </w:p>
        </w:tc>
        <w:tc>
          <w:tcPr>
            <w:tcW w:w="279" w:type="dxa"/>
            <w:tcBorders>
              <w:top w:val="nil"/>
              <w:right w:val="nil"/>
            </w:tcBorders>
            <w:shd w:val="clear" w:color="auto" w:fill="F3F3F3"/>
            <w:vAlign w:val="center"/>
          </w:tcPr>
          <w:p w14:paraId="3D415402" w14:textId="3A53292B" w:rsidR="006E57CC" w:rsidRDefault="006E57CC" w:rsidP="006E57CC">
            <w:pPr>
              <w:pStyle w:val="Default"/>
              <w:jc w:val="center"/>
              <w:rPr>
                <w:rFonts w:asciiTheme="minorHAnsi" w:hAnsiTheme="minorHAnsi" w:cs="Arial"/>
                <w:b/>
                <w:bCs/>
                <w:color w:val="0070C0"/>
                <w:sz w:val="20"/>
                <w:szCs w:val="20"/>
              </w:rPr>
            </w:pPr>
          </w:p>
        </w:tc>
        <w:tc>
          <w:tcPr>
            <w:tcW w:w="425" w:type="dxa"/>
            <w:tcBorders>
              <w:left w:val="nil"/>
              <w:right w:val="nil"/>
            </w:tcBorders>
            <w:shd w:val="clear" w:color="auto" w:fill="F3F3F3"/>
            <w:vAlign w:val="center"/>
          </w:tcPr>
          <w:p w14:paraId="0E40B715" w14:textId="3BFC004E" w:rsidR="006E57CC" w:rsidRDefault="006E57CC" w:rsidP="006E57CC">
            <w:pPr>
              <w:pStyle w:val="Default"/>
              <w:jc w:val="center"/>
              <w:rPr>
                <w:rFonts w:asciiTheme="minorHAnsi" w:hAnsiTheme="minorHAnsi" w:cs="Arial"/>
                <w:b/>
                <w:bCs/>
                <w:color w:val="0070C0"/>
                <w:sz w:val="20"/>
                <w:szCs w:val="20"/>
              </w:rPr>
            </w:pPr>
          </w:p>
        </w:tc>
        <w:tc>
          <w:tcPr>
            <w:tcW w:w="2835" w:type="dxa"/>
            <w:tcBorders>
              <w:left w:val="nil"/>
              <w:right w:val="nil"/>
            </w:tcBorders>
            <w:shd w:val="clear" w:color="auto" w:fill="F3F3F3"/>
            <w:vAlign w:val="center"/>
          </w:tcPr>
          <w:p w14:paraId="63BC58C0" w14:textId="18E5B3E9" w:rsidR="006E57CC" w:rsidRDefault="006E57CC" w:rsidP="006E57CC">
            <w:pPr>
              <w:pStyle w:val="Default"/>
              <w:jc w:val="center"/>
              <w:rPr>
                <w:rFonts w:asciiTheme="minorHAnsi" w:hAnsiTheme="minorHAnsi" w:cs="Arial"/>
                <w:b/>
                <w:bCs/>
                <w:color w:val="0070C0"/>
                <w:sz w:val="20"/>
                <w:szCs w:val="20"/>
              </w:rPr>
            </w:pPr>
          </w:p>
        </w:tc>
        <w:tc>
          <w:tcPr>
            <w:tcW w:w="284" w:type="dxa"/>
            <w:tcBorders>
              <w:top w:val="nil"/>
              <w:left w:val="nil"/>
              <w:right w:val="nil"/>
            </w:tcBorders>
            <w:shd w:val="clear" w:color="auto" w:fill="F3F3F3"/>
            <w:vAlign w:val="center"/>
          </w:tcPr>
          <w:p w14:paraId="37B7A7B3" w14:textId="71F522AF" w:rsidR="006E57CC" w:rsidRDefault="006E57CC" w:rsidP="006E57CC">
            <w:pPr>
              <w:pStyle w:val="Default"/>
              <w:jc w:val="center"/>
              <w:rPr>
                <w:rFonts w:asciiTheme="minorHAnsi" w:hAnsiTheme="minorHAnsi" w:cs="Arial"/>
                <w:b/>
                <w:bCs/>
                <w:color w:val="0070C0"/>
                <w:sz w:val="20"/>
                <w:szCs w:val="20"/>
              </w:rPr>
            </w:pPr>
          </w:p>
        </w:tc>
        <w:tc>
          <w:tcPr>
            <w:tcW w:w="10064" w:type="dxa"/>
            <w:vMerge/>
            <w:tcBorders>
              <w:left w:val="nil"/>
            </w:tcBorders>
            <w:shd w:val="clear" w:color="auto" w:fill="F3F3F3"/>
            <w:vAlign w:val="center"/>
          </w:tcPr>
          <w:p w14:paraId="1BA96295" w14:textId="77777777" w:rsidR="006E57CC" w:rsidRDefault="006E57CC" w:rsidP="006E57CC">
            <w:pPr>
              <w:pStyle w:val="Default"/>
              <w:jc w:val="center"/>
              <w:rPr>
                <w:rFonts w:asciiTheme="minorHAnsi" w:hAnsiTheme="minorHAnsi" w:cs="Arial"/>
                <w:b/>
                <w:bCs/>
                <w:color w:val="0070C0"/>
                <w:spacing w:val="20"/>
                <w:sz w:val="22"/>
                <w:szCs w:val="22"/>
              </w:rPr>
            </w:pPr>
          </w:p>
        </w:tc>
      </w:tr>
      <w:tr w:rsidR="006E57CC" w:rsidRPr="002319FE" w14:paraId="2A1BB5B7" w14:textId="77777777" w:rsidTr="0073533F">
        <w:trPr>
          <w:trHeight w:val="1045"/>
        </w:trPr>
        <w:tc>
          <w:tcPr>
            <w:tcW w:w="5103" w:type="dxa"/>
            <w:shd w:val="clear" w:color="auto" w:fill="D9D9D9" w:themeFill="background1" w:themeFillShade="D9"/>
            <w:vAlign w:val="center"/>
          </w:tcPr>
          <w:p w14:paraId="748E5A50" w14:textId="03DE0184" w:rsidR="006E57CC" w:rsidRPr="00283ECE" w:rsidRDefault="006E57CC" w:rsidP="006E57CC">
            <w:pPr>
              <w:pStyle w:val="Default"/>
              <w:rPr>
                <w:rFonts w:asciiTheme="minorHAnsi" w:hAnsiTheme="minorHAnsi" w:cs="Arial"/>
                <w:b/>
                <w:color w:val="auto"/>
                <w:sz w:val="28"/>
                <w:szCs w:val="28"/>
              </w:rPr>
            </w:pPr>
            <w:r w:rsidRPr="00283ECE">
              <w:rPr>
                <w:rFonts w:asciiTheme="minorHAnsi" w:hAnsiTheme="minorHAnsi" w:cs="Arial"/>
                <w:b/>
                <w:color w:val="auto"/>
                <w:sz w:val="20"/>
                <w:szCs w:val="20"/>
              </w:rPr>
              <w:t>Cross biosecurity system</w:t>
            </w:r>
          </w:p>
        </w:tc>
        <w:tc>
          <w:tcPr>
            <w:tcW w:w="567" w:type="dxa"/>
            <w:shd w:val="clear" w:color="auto" w:fill="FFF2CC" w:themeFill="accent4" w:themeFillTint="33"/>
            <w:vAlign w:val="center"/>
          </w:tcPr>
          <w:p w14:paraId="142BA946" w14:textId="77777777" w:rsidR="006E57CC" w:rsidRPr="002319FE" w:rsidRDefault="006E57CC" w:rsidP="006E57CC">
            <w:pPr>
              <w:pStyle w:val="Default"/>
              <w:jc w:val="center"/>
              <w:rPr>
                <w:rFonts w:asciiTheme="minorHAnsi" w:hAnsiTheme="minorHAnsi" w:cs="Arial"/>
                <w:b/>
                <w:bCs/>
                <w:color w:val="0070C0"/>
                <w:sz w:val="28"/>
                <w:szCs w:val="28"/>
              </w:rPr>
            </w:pPr>
          </w:p>
        </w:tc>
        <w:tc>
          <w:tcPr>
            <w:tcW w:w="567" w:type="dxa"/>
            <w:shd w:val="clear" w:color="auto" w:fill="FFF2CC" w:themeFill="accent4" w:themeFillTint="33"/>
            <w:vAlign w:val="center"/>
          </w:tcPr>
          <w:p w14:paraId="6A099FCB" w14:textId="77777777" w:rsidR="006E57CC" w:rsidRPr="002319FE" w:rsidRDefault="006E57CC" w:rsidP="006E57CC">
            <w:pPr>
              <w:pStyle w:val="Default"/>
              <w:jc w:val="center"/>
              <w:rPr>
                <w:rFonts w:asciiTheme="minorHAnsi" w:hAnsiTheme="minorHAnsi" w:cs="Arial"/>
                <w:b/>
                <w:bCs/>
                <w:color w:val="0070C0"/>
                <w:sz w:val="28"/>
                <w:szCs w:val="28"/>
              </w:rPr>
            </w:pPr>
          </w:p>
        </w:tc>
        <w:tc>
          <w:tcPr>
            <w:tcW w:w="567" w:type="dxa"/>
            <w:shd w:val="clear" w:color="auto" w:fill="FFF2CC" w:themeFill="accent4" w:themeFillTint="33"/>
            <w:vAlign w:val="center"/>
          </w:tcPr>
          <w:p w14:paraId="0E4425E3" w14:textId="77777777" w:rsidR="006E57CC" w:rsidRPr="002319FE" w:rsidRDefault="006E57CC" w:rsidP="006E57CC">
            <w:pPr>
              <w:pStyle w:val="Default"/>
              <w:jc w:val="center"/>
              <w:rPr>
                <w:rFonts w:asciiTheme="minorHAnsi" w:hAnsiTheme="minorHAnsi" w:cs="Arial"/>
                <w:b/>
                <w:bCs/>
                <w:color w:val="0070C0"/>
                <w:sz w:val="28"/>
                <w:szCs w:val="28"/>
              </w:rPr>
            </w:pPr>
          </w:p>
        </w:tc>
        <w:tc>
          <w:tcPr>
            <w:tcW w:w="567" w:type="dxa"/>
            <w:shd w:val="clear" w:color="auto" w:fill="FFD966"/>
            <w:vAlign w:val="center"/>
          </w:tcPr>
          <w:p w14:paraId="676E2198" w14:textId="77777777" w:rsidR="006E57CC" w:rsidRPr="002319FE" w:rsidRDefault="006E57CC" w:rsidP="006E57CC">
            <w:pPr>
              <w:pStyle w:val="Default"/>
              <w:jc w:val="center"/>
              <w:rPr>
                <w:rFonts w:asciiTheme="minorHAnsi" w:hAnsiTheme="minorHAnsi" w:cs="Arial"/>
                <w:b/>
                <w:bCs/>
                <w:color w:val="0070C0"/>
                <w:sz w:val="28"/>
                <w:szCs w:val="28"/>
              </w:rPr>
            </w:pPr>
          </w:p>
        </w:tc>
        <w:tc>
          <w:tcPr>
            <w:tcW w:w="567" w:type="dxa"/>
            <w:shd w:val="clear" w:color="auto" w:fill="F2F2F2" w:themeFill="background1" w:themeFillShade="F2"/>
            <w:vAlign w:val="center"/>
          </w:tcPr>
          <w:p w14:paraId="070BC3E6" w14:textId="77777777" w:rsidR="006E57CC" w:rsidRPr="002319FE" w:rsidRDefault="006E57CC" w:rsidP="006E57CC">
            <w:pPr>
              <w:pStyle w:val="Default"/>
              <w:jc w:val="center"/>
              <w:rPr>
                <w:rFonts w:asciiTheme="minorHAnsi" w:hAnsiTheme="minorHAnsi" w:cs="Arial"/>
                <w:b/>
                <w:bCs/>
                <w:color w:val="0070C0"/>
                <w:sz w:val="28"/>
                <w:szCs w:val="28"/>
              </w:rPr>
            </w:pPr>
          </w:p>
        </w:tc>
        <w:tc>
          <w:tcPr>
            <w:tcW w:w="13887" w:type="dxa"/>
            <w:gridSpan w:val="5"/>
            <w:shd w:val="clear" w:color="auto" w:fill="F3F3F3"/>
            <w:vAlign w:val="center"/>
          </w:tcPr>
          <w:p w14:paraId="7A1C48A4" w14:textId="578D93EE" w:rsidR="006E57CC" w:rsidRPr="0099661C" w:rsidRDefault="006E57CC" w:rsidP="006F3DD0">
            <w:pPr>
              <w:rPr>
                <w:rFonts w:cs="Arial"/>
                <w:bCs/>
                <w:sz w:val="20"/>
                <w:szCs w:val="20"/>
              </w:rPr>
            </w:pPr>
            <w:r>
              <w:rPr>
                <w:rFonts w:cs="Arial"/>
                <w:bCs/>
                <w:sz w:val="20"/>
                <w:szCs w:val="20"/>
              </w:rPr>
              <w:t xml:space="preserve">MPI is accountable for overall management of the biosecurity system on behalf of all New Zealanders. While activity dependent, MPI will cooperate wherever it can with stakeholders. MPI and GIA industry partners </w:t>
            </w:r>
            <w:r w:rsidR="006F3DD0">
              <w:rPr>
                <w:rFonts w:cs="Arial"/>
                <w:bCs/>
                <w:sz w:val="20"/>
                <w:szCs w:val="20"/>
              </w:rPr>
              <w:t>can</w:t>
            </w:r>
            <w:r w:rsidR="00A244CA">
              <w:rPr>
                <w:rFonts w:cs="Arial"/>
                <w:bCs/>
                <w:sz w:val="20"/>
                <w:szCs w:val="20"/>
              </w:rPr>
              <w:t xml:space="preserve"> identify opportunities to </w:t>
            </w:r>
            <w:r>
              <w:rPr>
                <w:rFonts w:cs="Arial"/>
                <w:bCs/>
                <w:sz w:val="20"/>
                <w:szCs w:val="20"/>
              </w:rPr>
              <w:t>collaborat</w:t>
            </w:r>
            <w:r w:rsidR="00A244CA">
              <w:rPr>
                <w:rFonts w:cs="Arial"/>
                <w:bCs/>
                <w:sz w:val="20"/>
                <w:szCs w:val="20"/>
              </w:rPr>
              <w:t>e</w:t>
            </w:r>
            <w:r>
              <w:rPr>
                <w:rFonts w:cs="Arial"/>
                <w:bCs/>
                <w:sz w:val="20"/>
                <w:szCs w:val="20"/>
              </w:rPr>
              <w:t xml:space="preserve"> where an activity represents a joint priority and parties are seeking similar outcomes. Partnership (through joint decision-making) can happen in </w:t>
            </w:r>
            <w:r w:rsidR="006F3DD0">
              <w:rPr>
                <w:rFonts w:cs="Arial"/>
                <w:bCs/>
                <w:sz w:val="20"/>
                <w:szCs w:val="20"/>
              </w:rPr>
              <w:t xml:space="preserve">Surveillance, </w:t>
            </w:r>
            <w:r>
              <w:rPr>
                <w:rFonts w:cs="Arial"/>
                <w:bCs/>
                <w:sz w:val="20"/>
                <w:szCs w:val="20"/>
              </w:rPr>
              <w:t xml:space="preserve">Readiness </w:t>
            </w:r>
            <w:r w:rsidR="006F3DD0">
              <w:rPr>
                <w:rFonts w:cs="Arial"/>
                <w:bCs/>
                <w:sz w:val="20"/>
                <w:szCs w:val="20"/>
              </w:rPr>
              <w:t>&amp;</w:t>
            </w:r>
            <w:r>
              <w:rPr>
                <w:rFonts w:cs="Arial"/>
                <w:bCs/>
                <w:sz w:val="20"/>
                <w:szCs w:val="20"/>
              </w:rPr>
              <w:t xml:space="preserve"> Response</w:t>
            </w:r>
            <w:r w:rsidR="006F3DD0">
              <w:rPr>
                <w:rFonts w:cs="Arial"/>
                <w:bCs/>
                <w:sz w:val="20"/>
                <w:szCs w:val="20"/>
              </w:rPr>
              <w:t>, and Pest &amp; Disease Management</w:t>
            </w:r>
            <w:r>
              <w:rPr>
                <w:rFonts w:cs="Arial"/>
                <w:bCs/>
                <w:sz w:val="20"/>
                <w:szCs w:val="20"/>
              </w:rPr>
              <w:t xml:space="preserve">. Implementation of the </w:t>
            </w:r>
            <w:r w:rsidR="006F3DD0">
              <w:rPr>
                <w:rFonts w:cs="Arial"/>
                <w:bCs/>
                <w:sz w:val="20"/>
                <w:szCs w:val="20"/>
              </w:rPr>
              <w:t xml:space="preserve">final </w:t>
            </w:r>
            <w:r>
              <w:rPr>
                <w:rFonts w:cs="Arial"/>
                <w:bCs/>
                <w:sz w:val="20"/>
                <w:szCs w:val="20"/>
              </w:rPr>
              <w:t xml:space="preserve">Biosecurity 2025 Direction Statement will likely include a review of system governance to improve transparency, inclusiveness and collaboration opportunities. </w:t>
            </w:r>
          </w:p>
        </w:tc>
      </w:tr>
      <w:tr w:rsidR="006E57CC" w14:paraId="648E2BCA" w14:textId="77777777" w:rsidTr="009037C2">
        <w:trPr>
          <w:trHeight w:val="1389"/>
        </w:trPr>
        <w:tc>
          <w:tcPr>
            <w:tcW w:w="5103" w:type="dxa"/>
            <w:shd w:val="clear" w:color="auto" w:fill="729FDC"/>
            <w:vAlign w:val="center"/>
          </w:tcPr>
          <w:p w14:paraId="343A9092" w14:textId="7ED7E8C1" w:rsidR="006E57CC" w:rsidRDefault="006E57CC" w:rsidP="006E57CC">
            <w:pPr>
              <w:pStyle w:val="Default"/>
              <w:rPr>
                <w:rFonts w:asciiTheme="minorHAnsi" w:hAnsiTheme="minorHAnsi" w:cs="Arial"/>
                <w:color w:val="auto"/>
                <w:sz w:val="20"/>
                <w:szCs w:val="20"/>
              </w:rPr>
            </w:pPr>
            <w:r w:rsidRPr="00283ECE">
              <w:rPr>
                <w:rFonts w:asciiTheme="minorHAnsi" w:hAnsiTheme="minorHAnsi" w:cs="Arial"/>
                <w:b/>
                <w:color w:val="auto"/>
                <w:sz w:val="20"/>
                <w:szCs w:val="20"/>
              </w:rPr>
              <w:t>International Plant &amp; Animal Health Standards</w:t>
            </w:r>
          </w:p>
          <w:p w14:paraId="3C092DDF" w14:textId="0582F6E0" w:rsidR="006E57CC" w:rsidRPr="00283ECE" w:rsidRDefault="006E57CC" w:rsidP="006E57CC">
            <w:pPr>
              <w:rPr>
                <w:sz w:val="20"/>
                <w:szCs w:val="20"/>
              </w:rPr>
            </w:pPr>
            <w:r w:rsidRPr="00283ECE">
              <w:rPr>
                <w:rFonts w:cs="Arial"/>
                <w:sz w:val="20"/>
                <w:szCs w:val="20"/>
              </w:rPr>
              <w:t>Developing international standards and rules under the WTO SPS Agreement</w:t>
            </w:r>
          </w:p>
        </w:tc>
        <w:tc>
          <w:tcPr>
            <w:tcW w:w="567" w:type="dxa"/>
            <w:shd w:val="clear" w:color="auto" w:fill="FFF2CC" w:themeFill="accent4" w:themeFillTint="33"/>
            <w:vAlign w:val="center"/>
          </w:tcPr>
          <w:p w14:paraId="45C91059"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4D8501F8"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02A9668E"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2F2F2" w:themeFill="background1" w:themeFillShade="F2"/>
            <w:vAlign w:val="center"/>
          </w:tcPr>
          <w:p w14:paraId="37D018CC"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2F2F2" w:themeFill="background1" w:themeFillShade="F2"/>
            <w:vAlign w:val="center"/>
          </w:tcPr>
          <w:p w14:paraId="45542154" w14:textId="77777777" w:rsidR="006E57CC" w:rsidRPr="00014B3E" w:rsidRDefault="006E57CC" w:rsidP="006E57CC">
            <w:pPr>
              <w:pStyle w:val="Default"/>
              <w:jc w:val="center"/>
              <w:rPr>
                <w:rFonts w:asciiTheme="minorHAnsi" w:hAnsiTheme="minorHAnsi" w:cs="Arial"/>
                <w:b/>
                <w:bCs/>
                <w:color w:val="0070C0"/>
                <w:sz w:val="20"/>
                <w:szCs w:val="20"/>
              </w:rPr>
            </w:pPr>
          </w:p>
        </w:tc>
        <w:tc>
          <w:tcPr>
            <w:tcW w:w="13887" w:type="dxa"/>
            <w:gridSpan w:val="5"/>
            <w:shd w:val="clear" w:color="auto" w:fill="F3F3F3"/>
            <w:vAlign w:val="center"/>
          </w:tcPr>
          <w:p w14:paraId="478F6E7A" w14:textId="07C2A6C5" w:rsidR="006E57CC" w:rsidRPr="002E7EF7" w:rsidRDefault="00423B19" w:rsidP="000F4DC9">
            <w:pPr>
              <w:pStyle w:val="Default"/>
              <w:rPr>
                <w:rFonts w:asciiTheme="minorHAnsi" w:hAnsiTheme="minorHAnsi" w:cs="Arial"/>
                <w:bCs/>
                <w:color w:val="auto"/>
                <w:sz w:val="20"/>
                <w:szCs w:val="20"/>
              </w:rPr>
            </w:pPr>
            <w:r>
              <w:rPr>
                <w:rFonts w:asciiTheme="minorHAnsi" w:hAnsiTheme="minorHAnsi" w:cs="Arial"/>
                <w:bCs/>
                <w:color w:val="auto"/>
                <w:sz w:val="20"/>
                <w:szCs w:val="20"/>
              </w:rPr>
              <w:t>MPI represents New Zealand on international standard setting bodies where measures are developed to protect human, plant and animal health. These measures once agreed, apply to all member trading nations. New Zealand is a relatively small player in the international arena and MPI is an influencer not a decision-maker</w:t>
            </w:r>
            <w:r w:rsidR="008158E3">
              <w:rPr>
                <w:rFonts w:asciiTheme="minorHAnsi" w:hAnsiTheme="minorHAnsi" w:cs="Arial"/>
                <w:bCs/>
                <w:color w:val="auto"/>
                <w:sz w:val="20"/>
                <w:szCs w:val="20"/>
              </w:rPr>
              <w:t xml:space="preserve"> in these fora</w:t>
            </w:r>
            <w:r w:rsidR="00087015">
              <w:rPr>
                <w:rFonts w:asciiTheme="minorHAnsi" w:hAnsiTheme="minorHAnsi" w:cs="Arial"/>
                <w:bCs/>
                <w:color w:val="auto"/>
                <w:sz w:val="20"/>
                <w:szCs w:val="20"/>
              </w:rPr>
              <w:t xml:space="preserve">. </w:t>
            </w:r>
            <w:r w:rsidR="008158E3">
              <w:rPr>
                <w:rFonts w:asciiTheme="minorHAnsi" w:hAnsiTheme="minorHAnsi" w:cs="Arial"/>
                <w:bCs/>
                <w:color w:val="auto"/>
                <w:sz w:val="20"/>
                <w:szCs w:val="20"/>
              </w:rPr>
              <w:t>W</w:t>
            </w:r>
            <w:r>
              <w:rPr>
                <w:rFonts w:asciiTheme="minorHAnsi" w:hAnsiTheme="minorHAnsi" w:cs="Arial"/>
                <w:bCs/>
                <w:color w:val="auto"/>
                <w:sz w:val="20"/>
                <w:szCs w:val="20"/>
              </w:rPr>
              <w:t xml:space="preserve">here </w:t>
            </w:r>
            <w:r w:rsidR="000F4DC9">
              <w:rPr>
                <w:rFonts w:asciiTheme="minorHAnsi" w:hAnsiTheme="minorHAnsi" w:cs="Arial"/>
                <w:bCs/>
                <w:color w:val="auto"/>
                <w:sz w:val="20"/>
                <w:szCs w:val="20"/>
              </w:rPr>
              <w:t>possible</w:t>
            </w:r>
            <w:r w:rsidR="000F4DC9">
              <w:rPr>
                <w:rStyle w:val="FootnoteReference"/>
                <w:rFonts w:asciiTheme="minorHAnsi" w:hAnsiTheme="minorHAnsi" w:cs="Arial"/>
                <w:bCs/>
                <w:color w:val="auto"/>
                <w:sz w:val="20"/>
                <w:szCs w:val="20"/>
              </w:rPr>
              <w:footnoteReference w:id="2"/>
            </w:r>
            <w:r w:rsidR="00F43354">
              <w:rPr>
                <w:rFonts w:asciiTheme="minorHAnsi" w:hAnsiTheme="minorHAnsi" w:cs="Arial"/>
                <w:bCs/>
                <w:color w:val="auto"/>
                <w:sz w:val="20"/>
                <w:szCs w:val="20"/>
              </w:rPr>
              <w:t xml:space="preserve">, </w:t>
            </w:r>
            <w:r>
              <w:rPr>
                <w:rFonts w:asciiTheme="minorHAnsi" w:hAnsiTheme="minorHAnsi" w:cs="Arial"/>
                <w:bCs/>
                <w:color w:val="auto"/>
                <w:sz w:val="20"/>
                <w:szCs w:val="20"/>
              </w:rPr>
              <w:t>MPI will seek to cooperate</w:t>
            </w:r>
            <w:r w:rsidR="00C67D84">
              <w:rPr>
                <w:rFonts w:asciiTheme="minorHAnsi" w:hAnsiTheme="minorHAnsi" w:cs="Arial"/>
                <w:bCs/>
                <w:color w:val="auto"/>
                <w:sz w:val="20"/>
                <w:szCs w:val="20"/>
              </w:rPr>
              <w:t xml:space="preserve"> with stakeholders. For example, through consulting on recommended priorities</w:t>
            </w:r>
            <w:r w:rsidR="00087015">
              <w:rPr>
                <w:rFonts w:asciiTheme="minorHAnsi" w:hAnsiTheme="minorHAnsi" w:cs="Arial"/>
                <w:bCs/>
                <w:color w:val="auto"/>
                <w:sz w:val="20"/>
                <w:szCs w:val="20"/>
              </w:rPr>
              <w:t xml:space="preserve"> for work</w:t>
            </w:r>
            <w:r w:rsidR="00DA3321">
              <w:rPr>
                <w:rFonts w:asciiTheme="minorHAnsi" w:hAnsiTheme="minorHAnsi" w:cs="Arial"/>
                <w:bCs/>
                <w:color w:val="auto"/>
                <w:sz w:val="20"/>
                <w:szCs w:val="20"/>
              </w:rPr>
              <w:t xml:space="preserve"> </w:t>
            </w:r>
            <w:r w:rsidR="00087015">
              <w:rPr>
                <w:rFonts w:asciiTheme="minorHAnsi" w:hAnsiTheme="minorHAnsi" w:cs="Arial"/>
                <w:bCs/>
                <w:color w:val="auto"/>
                <w:sz w:val="20"/>
                <w:szCs w:val="20"/>
              </w:rPr>
              <w:t>plans</w:t>
            </w:r>
            <w:r w:rsidR="00DA3321">
              <w:rPr>
                <w:rFonts w:asciiTheme="minorHAnsi" w:hAnsiTheme="minorHAnsi" w:cs="Arial"/>
                <w:bCs/>
                <w:color w:val="auto"/>
                <w:sz w:val="20"/>
                <w:szCs w:val="20"/>
              </w:rPr>
              <w:t>, and on the content of draft standards</w:t>
            </w:r>
            <w:r w:rsidR="00087015">
              <w:rPr>
                <w:rFonts w:asciiTheme="minorHAnsi" w:hAnsiTheme="minorHAnsi" w:cs="Arial"/>
                <w:bCs/>
                <w:color w:val="auto"/>
                <w:sz w:val="20"/>
                <w:szCs w:val="20"/>
              </w:rPr>
              <w:t>. MPI must be fa</w:t>
            </w:r>
            <w:r w:rsidR="00DA3321">
              <w:rPr>
                <w:rFonts w:asciiTheme="minorHAnsi" w:hAnsiTheme="minorHAnsi" w:cs="Arial"/>
                <w:bCs/>
                <w:color w:val="auto"/>
                <w:sz w:val="20"/>
                <w:szCs w:val="20"/>
              </w:rPr>
              <w:t xml:space="preserve">ir, transparent and equitable in the way it engages </w:t>
            </w:r>
            <w:r w:rsidR="00C52F95">
              <w:rPr>
                <w:rFonts w:asciiTheme="minorHAnsi" w:hAnsiTheme="minorHAnsi" w:cs="Arial"/>
                <w:bCs/>
                <w:color w:val="auto"/>
                <w:sz w:val="20"/>
                <w:szCs w:val="20"/>
              </w:rPr>
              <w:t>on these activities</w:t>
            </w:r>
            <w:r w:rsidR="00904BE0">
              <w:rPr>
                <w:rFonts w:asciiTheme="minorHAnsi" w:hAnsiTheme="minorHAnsi" w:cs="Arial"/>
                <w:bCs/>
                <w:color w:val="auto"/>
                <w:sz w:val="20"/>
                <w:szCs w:val="20"/>
              </w:rPr>
              <w:t>, and must therefore provide the same sorts of engagement opportunities to</w:t>
            </w:r>
            <w:r w:rsidR="00C52F95">
              <w:rPr>
                <w:rFonts w:asciiTheme="minorHAnsi" w:hAnsiTheme="minorHAnsi" w:cs="Arial"/>
                <w:bCs/>
                <w:color w:val="auto"/>
                <w:sz w:val="20"/>
                <w:szCs w:val="20"/>
              </w:rPr>
              <w:t xml:space="preserve"> </w:t>
            </w:r>
            <w:r w:rsidR="00087015">
              <w:rPr>
                <w:rFonts w:asciiTheme="minorHAnsi" w:hAnsiTheme="minorHAnsi" w:cs="Arial"/>
                <w:bCs/>
                <w:color w:val="auto"/>
                <w:sz w:val="20"/>
                <w:szCs w:val="20"/>
              </w:rPr>
              <w:t>all stakeholders</w:t>
            </w:r>
            <w:r w:rsidR="00F43354">
              <w:rPr>
                <w:rFonts w:asciiTheme="minorHAnsi" w:hAnsiTheme="minorHAnsi" w:cs="Arial"/>
                <w:bCs/>
                <w:color w:val="auto"/>
                <w:sz w:val="20"/>
                <w:szCs w:val="20"/>
              </w:rPr>
              <w:t xml:space="preserve"> (including GIA industry P</w:t>
            </w:r>
            <w:r w:rsidR="00C52F95">
              <w:rPr>
                <w:rFonts w:asciiTheme="minorHAnsi" w:hAnsiTheme="minorHAnsi" w:cs="Arial"/>
                <w:bCs/>
                <w:color w:val="auto"/>
                <w:sz w:val="20"/>
                <w:szCs w:val="20"/>
              </w:rPr>
              <w:t xml:space="preserve">artners). </w:t>
            </w:r>
          </w:p>
        </w:tc>
      </w:tr>
      <w:tr w:rsidR="006E57CC" w14:paraId="5C1D2EF4" w14:textId="77777777" w:rsidTr="009037C2">
        <w:trPr>
          <w:trHeight w:val="1405"/>
        </w:trPr>
        <w:tc>
          <w:tcPr>
            <w:tcW w:w="5103" w:type="dxa"/>
            <w:shd w:val="clear" w:color="auto" w:fill="33CCCC"/>
            <w:vAlign w:val="center"/>
          </w:tcPr>
          <w:p w14:paraId="2C6D94CD" w14:textId="77777777" w:rsidR="006E57CC" w:rsidRDefault="006E57CC" w:rsidP="006E57CC">
            <w:pPr>
              <w:pStyle w:val="Default"/>
              <w:rPr>
                <w:rFonts w:asciiTheme="minorHAnsi" w:hAnsiTheme="minorHAnsi" w:cs="Arial"/>
                <w:b/>
                <w:color w:val="auto"/>
                <w:sz w:val="20"/>
                <w:szCs w:val="20"/>
              </w:rPr>
            </w:pPr>
            <w:r w:rsidRPr="00283ECE">
              <w:rPr>
                <w:rFonts w:asciiTheme="minorHAnsi" w:hAnsiTheme="minorHAnsi" w:cs="Arial"/>
                <w:b/>
                <w:color w:val="auto"/>
                <w:sz w:val="20"/>
                <w:szCs w:val="20"/>
              </w:rPr>
              <w:t>Trade Agreements &amp; Bilateral Arrangements</w:t>
            </w:r>
          </w:p>
          <w:p w14:paraId="1D9C0C03" w14:textId="02F23A41" w:rsidR="006E57CC" w:rsidRPr="00283ECE" w:rsidRDefault="006E57CC" w:rsidP="006E57CC">
            <w:pPr>
              <w:pStyle w:val="Default"/>
              <w:rPr>
                <w:rFonts w:asciiTheme="minorHAnsi" w:hAnsiTheme="minorHAnsi" w:cs="Arial"/>
                <w:color w:val="auto"/>
                <w:sz w:val="20"/>
                <w:szCs w:val="20"/>
              </w:rPr>
            </w:pPr>
            <w:r w:rsidRPr="00283ECE">
              <w:rPr>
                <w:rFonts w:asciiTheme="minorHAnsi" w:hAnsiTheme="minorHAnsi" w:cs="Arial"/>
                <w:color w:val="auto"/>
                <w:sz w:val="20"/>
                <w:szCs w:val="20"/>
              </w:rPr>
              <w:t>Negotiation, agreements and processes for future biosecurity cooperation and trade</w:t>
            </w:r>
          </w:p>
        </w:tc>
        <w:tc>
          <w:tcPr>
            <w:tcW w:w="567" w:type="dxa"/>
            <w:shd w:val="clear" w:color="auto" w:fill="FFF2CC" w:themeFill="accent4" w:themeFillTint="33"/>
            <w:vAlign w:val="center"/>
          </w:tcPr>
          <w:p w14:paraId="06858D82"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4C927377"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296481C3"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0FD2CE0A"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2F2F2" w:themeFill="background1" w:themeFillShade="F2"/>
            <w:vAlign w:val="center"/>
          </w:tcPr>
          <w:p w14:paraId="253711F4" w14:textId="77777777" w:rsidR="006E57CC" w:rsidRPr="00014B3E" w:rsidRDefault="006E57CC" w:rsidP="006E57CC">
            <w:pPr>
              <w:pStyle w:val="Default"/>
              <w:jc w:val="center"/>
              <w:rPr>
                <w:rFonts w:asciiTheme="minorHAnsi" w:hAnsiTheme="minorHAnsi" w:cs="Arial"/>
                <w:b/>
                <w:bCs/>
                <w:color w:val="0070C0"/>
                <w:sz w:val="20"/>
                <w:szCs w:val="20"/>
              </w:rPr>
            </w:pPr>
          </w:p>
        </w:tc>
        <w:tc>
          <w:tcPr>
            <w:tcW w:w="13887" w:type="dxa"/>
            <w:gridSpan w:val="5"/>
            <w:shd w:val="clear" w:color="auto" w:fill="F3F3F3"/>
            <w:vAlign w:val="center"/>
          </w:tcPr>
          <w:p w14:paraId="4CB87995" w14:textId="12266460" w:rsidR="006E57CC" w:rsidRPr="002E7EF7" w:rsidRDefault="001F609D" w:rsidP="000F4DC9">
            <w:pPr>
              <w:pStyle w:val="Default"/>
              <w:rPr>
                <w:rFonts w:asciiTheme="minorHAnsi" w:hAnsiTheme="minorHAnsi" w:cs="Arial"/>
                <w:bCs/>
                <w:color w:val="auto"/>
                <w:sz w:val="20"/>
                <w:szCs w:val="20"/>
              </w:rPr>
            </w:pPr>
            <w:r>
              <w:rPr>
                <w:rFonts w:asciiTheme="minorHAnsi" w:hAnsiTheme="minorHAnsi" w:cs="Arial"/>
                <w:bCs/>
                <w:color w:val="auto"/>
                <w:sz w:val="20"/>
                <w:szCs w:val="20"/>
              </w:rPr>
              <w:t>Activities in this layer are directed towards negotiating and implem</w:t>
            </w:r>
            <w:r w:rsidR="000F4DC9">
              <w:rPr>
                <w:rFonts w:asciiTheme="minorHAnsi" w:hAnsiTheme="minorHAnsi" w:cs="Arial"/>
                <w:bCs/>
                <w:color w:val="auto"/>
                <w:sz w:val="20"/>
                <w:szCs w:val="20"/>
              </w:rPr>
              <w:t>enting trade agreements. Where possible</w:t>
            </w:r>
            <w:r w:rsidR="000F4DC9" w:rsidRPr="000F4DC9">
              <w:rPr>
                <w:rFonts w:asciiTheme="minorHAnsi" w:hAnsiTheme="minorHAnsi" w:cs="Arial"/>
                <w:bCs/>
                <w:color w:val="auto"/>
                <w:sz w:val="20"/>
                <w:szCs w:val="20"/>
                <w:vertAlign w:val="superscript"/>
              </w:rPr>
              <w:t>6</w:t>
            </w:r>
            <w:r>
              <w:rPr>
                <w:rFonts w:asciiTheme="minorHAnsi" w:hAnsiTheme="minorHAnsi" w:cs="Arial"/>
                <w:bCs/>
                <w:color w:val="auto"/>
                <w:sz w:val="20"/>
                <w:szCs w:val="20"/>
              </w:rPr>
              <w:t xml:space="preserve">, MPI will cooperate </w:t>
            </w:r>
            <w:r w:rsidR="003B6932">
              <w:rPr>
                <w:rFonts w:asciiTheme="minorHAnsi" w:hAnsiTheme="minorHAnsi" w:cs="Arial"/>
                <w:bCs/>
                <w:color w:val="auto"/>
                <w:sz w:val="20"/>
                <w:szCs w:val="20"/>
              </w:rPr>
              <w:t>or</w:t>
            </w:r>
            <w:r>
              <w:rPr>
                <w:rFonts w:asciiTheme="minorHAnsi" w:hAnsiTheme="minorHAnsi" w:cs="Arial"/>
                <w:bCs/>
                <w:color w:val="auto"/>
                <w:sz w:val="20"/>
                <w:szCs w:val="20"/>
              </w:rPr>
              <w:t xml:space="preserve"> collaborate with stakeholders</w:t>
            </w:r>
            <w:r w:rsidR="00065DD0">
              <w:rPr>
                <w:rFonts w:asciiTheme="minorHAnsi" w:hAnsiTheme="minorHAnsi" w:cs="Arial"/>
                <w:bCs/>
                <w:color w:val="auto"/>
                <w:sz w:val="20"/>
                <w:szCs w:val="20"/>
              </w:rPr>
              <w:t>. For example, through consulting on priorities for trade negotiations, and in the identification and mitigation of trade agreement im</w:t>
            </w:r>
            <w:r w:rsidR="00DA3321">
              <w:rPr>
                <w:rFonts w:asciiTheme="minorHAnsi" w:hAnsiTheme="minorHAnsi" w:cs="Arial"/>
                <w:bCs/>
                <w:color w:val="auto"/>
                <w:sz w:val="20"/>
                <w:szCs w:val="20"/>
              </w:rPr>
              <w:t>plementation issues</w:t>
            </w:r>
            <w:r w:rsidR="006E57CC">
              <w:rPr>
                <w:rFonts w:asciiTheme="minorHAnsi" w:hAnsiTheme="minorHAnsi" w:cs="Arial"/>
                <w:bCs/>
                <w:color w:val="auto"/>
                <w:sz w:val="20"/>
                <w:szCs w:val="20"/>
              </w:rPr>
              <w:t xml:space="preserve">. There are a range of government-industry fora which exist to facilitate these interactions – </w:t>
            </w:r>
            <w:proofErr w:type="spellStart"/>
            <w:r w:rsidR="006E57CC">
              <w:rPr>
                <w:rFonts w:asciiTheme="minorHAnsi" w:hAnsiTheme="minorHAnsi" w:cs="Arial"/>
                <w:bCs/>
                <w:color w:val="auto"/>
                <w:sz w:val="20"/>
                <w:szCs w:val="20"/>
              </w:rPr>
              <w:t>eg</w:t>
            </w:r>
            <w:proofErr w:type="spellEnd"/>
            <w:r w:rsidR="006E57CC">
              <w:rPr>
                <w:rFonts w:asciiTheme="minorHAnsi" w:hAnsiTheme="minorHAnsi" w:cs="Arial"/>
                <w:bCs/>
                <w:color w:val="auto"/>
                <w:sz w:val="20"/>
                <w:szCs w:val="20"/>
              </w:rPr>
              <w:t xml:space="preserve">, PMAC, </w:t>
            </w:r>
            <w:proofErr w:type="spellStart"/>
            <w:r w:rsidR="006E57CC">
              <w:rPr>
                <w:rFonts w:asciiTheme="minorHAnsi" w:hAnsiTheme="minorHAnsi" w:cs="Arial"/>
                <w:bCs/>
                <w:color w:val="auto"/>
                <w:sz w:val="20"/>
                <w:szCs w:val="20"/>
              </w:rPr>
              <w:t>GermAC</w:t>
            </w:r>
            <w:proofErr w:type="spellEnd"/>
            <w:r w:rsidR="006E57CC">
              <w:rPr>
                <w:rFonts w:asciiTheme="minorHAnsi" w:hAnsiTheme="minorHAnsi" w:cs="Arial"/>
                <w:bCs/>
                <w:color w:val="auto"/>
                <w:sz w:val="20"/>
                <w:szCs w:val="20"/>
              </w:rPr>
              <w:t xml:space="preserve">, </w:t>
            </w:r>
            <w:proofErr w:type="spellStart"/>
            <w:r w:rsidR="006E57CC">
              <w:rPr>
                <w:rFonts w:asciiTheme="minorHAnsi" w:hAnsiTheme="minorHAnsi" w:cs="Arial"/>
                <w:bCs/>
                <w:color w:val="auto"/>
                <w:sz w:val="20"/>
                <w:szCs w:val="20"/>
              </w:rPr>
              <w:t>FreshPAC</w:t>
            </w:r>
            <w:proofErr w:type="spellEnd"/>
            <w:r w:rsidR="006E57CC">
              <w:rPr>
                <w:rFonts w:asciiTheme="minorHAnsi" w:hAnsiTheme="minorHAnsi" w:cs="Arial"/>
                <w:bCs/>
                <w:color w:val="auto"/>
                <w:sz w:val="20"/>
                <w:szCs w:val="20"/>
              </w:rPr>
              <w:t xml:space="preserve">, </w:t>
            </w:r>
            <w:proofErr w:type="gramStart"/>
            <w:r w:rsidR="006E57CC">
              <w:rPr>
                <w:rFonts w:asciiTheme="minorHAnsi" w:hAnsiTheme="minorHAnsi" w:cs="Arial"/>
                <w:bCs/>
                <w:color w:val="auto"/>
                <w:sz w:val="20"/>
                <w:szCs w:val="20"/>
              </w:rPr>
              <w:t>ATAC</w:t>
            </w:r>
            <w:proofErr w:type="gramEnd"/>
            <w:r w:rsidR="006E57CC">
              <w:rPr>
                <w:rFonts w:asciiTheme="minorHAnsi" w:hAnsiTheme="minorHAnsi" w:cs="Arial"/>
                <w:bCs/>
                <w:color w:val="auto"/>
                <w:sz w:val="20"/>
                <w:szCs w:val="20"/>
              </w:rPr>
              <w:t xml:space="preserve">. MPI </w:t>
            </w:r>
            <w:r w:rsidR="00064897">
              <w:rPr>
                <w:rFonts w:asciiTheme="minorHAnsi" w:hAnsiTheme="minorHAnsi" w:cs="Arial"/>
                <w:bCs/>
                <w:color w:val="auto"/>
                <w:sz w:val="20"/>
                <w:szCs w:val="20"/>
              </w:rPr>
              <w:t>can also work through</w:t>
            </w:r>
            <w:r w:rsidR="006E57CC">
              <w:rPr>
                <w:rFonts w:asciiTheme="minorHAnsi" w:hAnsiTheme="minorHAnsi" w:cs="Arial"/>
                <w:bCs/>
                <w:color w:val="auto"/>
                <w:sz w:val="20"/>
                <w:szCs w:val="20"/>
              </w:rPr>
              <w:t xml:space="preserve"> GIA specific fora such as the GIA DGG and GIA Biosecurity </w:t>
            </w:r>
            <w:r>
              <w:rPr>
                <w:rFonts w:asciiTheme="minorHAnsi" w:hAnsiTheme="minorHAnsi" w:cs="Arial"/>
                <w:bCs/>
                <w:color w:val="auto"/>
                <w:sz w:val="20"/>
                <w:szCs w:val="20"/>
              </w:rPr>
              <w:t>F</w:t>
            </w:r>
            <w:r w:rsidR="00DA3321">
              <w:rPr>
                <w:rFonts w:asciiTheme="minorHAnsi" w:hAnsiTheme="minorHAnsi" w:cs="Arial"/>
                <w:bCs/>
                <w:color w:val="auto"/>
                <w:sz w:val="20"/>
                <w:szCs w:val="20"/>
              </w:rPr>
              <w:t>or</w:t>
            </w:r>
            <w:r>
              <w:rPr>
                <w:rFonts w:asciiTheme="minorHAnsi" w:hAnsiTheme="minorHAnsi" w:cs="Arial"/>
                <w:bCs/>
                <w:color w:val="auto"/>
                <w:sz w:val="20"/>
                <w:szCs w:val="20"/>
              </w:rPr>
              <w:t>a. To fulfil its role as competent authority, MPI must treat all stakeholders fair</w:t>
            </w:r>
            <w:r w:rsidR="00065DD0">
              <w:rPr>
                <w:rFonts w:asciiTheme="minorHAnsi" w:hAnsiTheme="minorHAnsi" w:cs="Arial"/>
                <w:bCs/>
                <w:color w:val="auto"/>
                <w:sz w:val="20"/>
                <w:szCs w:val="20"/>
              </w:rPr>
              <w:t xml:space="preserve">ly, transparently and equitably </w:t>
            </w:r>
            <w:r w:rsidR="00904BE0">
              <w:rPr>
                <w:rFonts w:asciiTheme="minorHAnsi" w:hAnsiTheme="minorHAnsi" w:cs="Arial"/>
                <w:bCs/>
                <w:color w:val="auto"/>
                <w:sz w:val="20"/>
                <w:szCs w:val="20"/>
              </w:rPr>
              <w:t xml:space="preserve">and must therefore provide the same sorts of engagement opportunities to all stakeholders (including GIA industry partners). </w:t>
            </w:r>
          </w:p>
        </w:tc>
      </w:tr>
      <w:tr w:rsidR="006E57CC" w14:paraId="5F918566" w14:textId="77777777" w:rsidTr="009037C2">
        <w:trPr>
          <w:trHeight w:val="1968"/>
        </w:trPr>
        <w:tc>
          <w:tcPr>
            <w:tcW w:w="5103" w:type="dxa"/>
            <w:shd w:val="clear" w:color="auto" w:fill="92D050"/>
            <w:vAlign w:val="center"/>
          </w:tcPr>
          <w:p w14:paraId="0AAF7CA7" w14:textId="77777777" w:rsidR="006E57CC" w:rsidRDefault="006E57CC" w:rsidP="006E57CC">
            <w:pPr>
              <w:pStyle w:val="Default"/>
              <w:rPr>
                <w:rFonts w:asciiTheme="minorHAnsi" w:hAnsiTheme="minorHAnsi" w:cs="Arial"/>
                <w:b/>
                <w:color w:val="auto"/>
                <w:sz w:val="20"/>
                <w:szCs w:val="20"/>
              </w:rPr>
            </w:pPr>
            <w:r w:rsidRPr="00283ECE">
              <w:rPr>
                <w:rFonts w:asciiTheme="minorHAnsi" w:hAnsiTheme="minorHAnsi" w:cs="Arial"/>
                <w:b/>
                <w:color w:val="auto"/>
                <w:sz w:val="20"/>
                <w:szCs w:val="20"/>
              </w:rPr>
              <w:t>Risk Assessment &amp; Import Health Standards</w:t>
            </w:r>
          </w:p>
          <w:p w14:paraId="1E4AF1DA" w14:textId="39B84517" w:rsidR="006E57CC" w:rsidRPr="00684B7F" w:rsidRDefault="006E57CC" w:rsidP="006E57CC">
            <w:pPr>
              <w:pStyle w:val="Default"/>
              <w:rPr>
                <w:rFonts w:asciiTheme="minorHAnsi" w:hAnsiTheme="minorHAnsi" w:cs="Arial"/>
                <w:b/>
                <w:color w:val="auto"/>
                <w:sz w:val="20"/>
                <w:szCs w:val="20"/>
              </w:rPr>
            </w:pPr>
            <w:r w:rsidRPr="00684B7F">
              <w:rPr>
                <w:rFonts w:asciiTheme="minorHAnsi" w:hAnsiTheme="minorHAnsi" w:cs="Arial"/>
                <w:color w:val="auto"/>
                <w:sz w:val="20"/>
                <w:szCs w:val="20"/>
              </w:rPr>
              <w:t xml:space="preserve">Identification of risk </w:t>
            </w:r>
            <w:r>
              <w:rPr>
                <w:rFonts w:asciiTheme="minorHAnsi" w:hAnsiTheme="minorHAnsi" w:cs="Arial"/>
                <w:color w:val="auto"/>
                <w:sz w:val="20"/>
                <w:szCs w:val="20"/>
              </w:rPr>
              <w:t xml:space="preserve">and specification of requirements </w:t>
            </w:r>
            <w:r w:rsidRPr="00684B7F">
              <w:rPr>
                <w:rFonts w:asciiTheme="minorHAnsi" w:hAnsiTheme="minorHAnsi" w:cs="Arial"/>
                <w:color w:val="auto"/>
                <w:sz w:val="20"/>
                <w:szCs w:val="20"/>
              </w:rPr>
              <w:t>for people and goods coming into New Zealand</w:t>
            </w:r>
          </w:p>
        </w:tc>
        <w:tc>
          <w:tcPr>
            <w:tcW w:w="567" w:type="dxa"/>
            <w:shd w:val="clear" w:color="auto" w:fill="FFF2CC" w:themeFill="accent4" w:themeFillTint="33"/>
            <w:vAlign w:val="center"/>
          </w:tcPr>
          <w:p w14:paraId="3C2CE873" w14:textId="77777777" w:rsidR="006E57CC" w:rsidRPr="00867F4C" w:rsidRDefault="006E57CC" w:rsidP="006E57CC">
            <w:pPr>
              <w:pStyle w:val="Default"/>
              <w:jc w:val="center"/>
              <w:rPr>
                <w:rFonts w:asciiTheme="minorHAnsi" w:hAnsiTheme="minorHAnsi" w:cs="Arial"/>
                <w:b/>
                <w:bCs/>
                <w:color w:val="FF0000"/>
                <w:sz w:val="20"/>
                <w:szCs w:val="20"/>
              </w:rPr>
            </w:pPr>
          </w:p>
        </w:tc>
        <w:tc>
          <w:tcPr>
            <w:tcW w:w="567" w:type="dxa"/>
            <w:shd w:val="clear" w:color="auto" w:fill="FFF2CC" w:themeFill="accent4" w:themeFillTint="33"/>
            <w:vAlign w:val="center"/>
          </w:tcPr>
          <w:p w14:paraId="21DE5CB8" w14:textId="77777777" w:rsidR="006E57CC" w:rsidRPr="00867F4C" w:rsidRDefault="006E57CC" w:rsidP="006E57CC">
            <w:pPr>
              <w:pStyle w:val="Default"/>
              <w:jc w:val="center"/>
              <w:rPr>
                <w:rFonts w:asciiTheme="minorHAnsi" w:hAnsiTheme="minorHAnsi" w:cs="Arial"/>
                <w:b/>
                <w:bCs/>
                <w:color w:val="FF0000"/>
                <w:sz w:val="20"/>
                <w:szCs w:val="20"/>
              </w:rPr>
            </w:pPr>
          </w:p>
        </w:tc>
        <w:tc>
          <w:tcPr>
            <w:tcW w:w="567" w:type="dxa"/>
            <w:shd w:val="clear" w:color="auto" w:fill="F2F2F2" w:themeFill="background1" w:themeFillShade="F2"/>
            <w:vAlign w:val="center"/>
          </w:tcPr>
          <w:p w14:paraId="6A97C99F" w14:textId="77777777" w:rsidR="006E57CC" w:rsidRPr="00867F4C" w:rsidRDefault="006E57CC" w:rsidP="006E57CC">
            <w:pPr>
              <w:pStyle w:val="Default"/>
              <w:jc w:val="center"/>
              <w:rPr>
                <w:rFonts w:asciiTheme="minorHAnsi" w:hAnsiTheme="minorHAnsi" w:cs="Arial"/>
                <w:b/>
                <w:bCs/>
                <w:color w:val="FF0000"/>
                <w:sz w:val="20"/>
                <w:szCs w:val="20"/>
              </w:rPr>
            </w:pPr>
          </w:p>
        </w:tc>
        <w:tc>
          <w:tcPr>
            <w:tcW w:w="567" w:type="dxa"/>
            <w:shd w:val="clear" w:color="auto" w:fill="F2F2F2" w:themeFill="background1" w:themeFillShade="F2"/>
            <w:vAlign w:val="center"/>
          </w:tcPr>
          <w:p w14:paraId="5C1EBD3D" w14:textId="77777777" w:rsidR="006E57CC" w:rsidRPr="00867F4C" w:rsidRDefault="006E57CC" w:rsidP="006E57CC">
            <w:pPr>
              <w:pStyle w:val="Default"/>
              <w:jc w:val="center"/>
              <w:rPr>
                <w:rFonts w:asciiTheme="minorHAnsi" w:hAnsiTheme="minorHAnsi" w:cs="Arial"/>
                <w:b/>
                <w:bCs/>
                <w:color w:val="FF0000"/>
                <w:sz w:val="20"/>
                <w:szCs w:val="20"/>
              </w:rPr>
            </w:pPr>
          </w:p>
        </w:tc>
        <w:tc>
          <w:tcPr>
            <w:tcW w:w="567" w:type="dxa"/>
            <w:shd w:val="clear" w:color="auto" w:fill="F2F2F2" w:themeFill="background1" w:themeFillShade="F2"/>
            <w:vAlign w:val="center"/>
          </w:tcPr>
          <w:p w14:paraId="224EBD41" w14:textId="77777777" w:rsidR="006E57CC" w:rsidRPr="00867F4C" w:rsidRDefault="006E57CC" w:rsidP="006E57CC">
            <w:pPr>
              <w:pStyle w:val="Default"/>
              <w:jc w:val="center"/>
              <w:rPr>
                <w:rFonts w:asciiTheme="minorHAnsi" w:hAnsiTheme="minorHAnsi" w:cs="Arial"/>
                <w:b/>
                <w:bCs/>
                <w:color w:val="FF0000"/>
                <w:sz w:val="20"/>
                <w:szCs w:val="20"/>
              </w:rPr>
            </w:pPr>
          </w:p>
        </w:tc>
        <w:tc>
          <w:tcPr>
            <w:tcW w:w="13887" w:type="dxa"/>
            <w:gridSpan w:val="5"/>
            <w:shd w:val="clear" w:color="auto" w:fill="F3F3F3"/>
            <w:vAlign w:val="center"/>
          </w:tcPr>
          <w:p w14:paraId="21B456BC" w14:textId="77777777" w:rsidR="00F43354" w:rsidRDefault="00064897" w:rsidP="003B6932">
            <w:pPr>
              <w:pStyle w:val="Default"/>
              <w:rPr>
                <w:rFonts w:asciiTheme="minorHAnsi" w:hAnsiTheme="minorHAnsi" w:cs="Arial"/>
                <w:bCs/>
                <w:color w:val="auto"/>
                <w:sz w:val="20"/>
                <w:szCs w:val="20"/>
              </w:rPr>
            </w:pPr>
            <w:r>
              <w:rPr>
                <w:rFonts w:asciiTheme="minorHAnsi" w:hAnsiTheme="minorHAnsi" w:cs="Arial"/>
                <w:bCs/>
                <w:color w:val="auto"/>
                <w:sz w:val="20"/>
                <w:szCs w:val="20"/>
              </w:rPr>
              <w:t>Activities in this layer are directed at undertaking objective and internationally defensible assessments of pest and disease risks associated with imported commoditi</w:t>
            </w:r>
            <w:r w:rsidR="00A958E6">
              <w:rPr>
                <w:rFonts w:asciiTheme="minorHAnsi" w:hAnsiTheme="minorHAnsi" w:cs="Arial"/>
                <w:bCs/>
                <w:color w:val="auto"/>
                <w:sz w:val="20"/>
                <w:szCs w:val="20"/>
              </w:rPr>
              <w:t xml:space="preserve">es – and to help with decisions on how best to manage these. It covers the prioritisation, development, implementation and review of associated import health standards. </w:t>
            </w:r>
            <w:r w:rsidR="00F43354">
              <w:rPr>
                <w:rFonts w:asciiTheme="minorHAnsi" w:hAnsiTheme="minorHAnsi" w:cs="Arial"/>
                <w:bCs/>
                <w:color w:val="auto"/>
                <w:sz w:val="20"/>
                <w:szCs w:val="20"/>
              </w:rPr>
              <w:t xml:space="preserve">The Biosecurity Act </w:t>
            </w:r>
            <w:r w:rsidR="008158E3">
              <w:rPr>
                <w:rFonts w:asciiTheme="minorHAnsi" w:hAnsiTheme="minorHAnsi" w:cs="Arial"/>
                <w:bCs/>
                <w:color w:val="auto"/>
                <w:sz w:val="20"/>
                <w:szCs w:val="20"/>
              </w:rPr>
              <w:t>1993 sets out the statutory processes that must be followed for consultation with stakeholders on both risk assessments and import health standards. The Act requires MPI to treat all stakeholders fairly, transparently and equitably</w:t>
            </w:r>
            <w:r w:rsidR="008260BA">
              <w:rPr>
                <w:rFonts w:asciiTheme="minorHAnsi" w:hAnsiTheme="minorHAnsi" w:cs="Arial"/>
                <w:bCs/>
                <w:color w:val="auto"/>
                <w:sz w:val="20"/>
                <w:szCs w:val="20"/>
              </w:rPr>
              <w:t xml:space="preserve">, and </w:t>
            </w:r>
            <w:r w:rsidR="003B6932">
              <w:rPr>
                <w:rFonts w:asciiTheme="minorHAnsi" w:hAnsiTheme="minorHAnsi" w:cs="Arial"/>
                <w:bCs/>
                <w:color w:val="auto"/>
                <w:sz w:val="20"/>
                <w:szCs w:val="20"/>
              </w:rPr>
              <w:t xml:space="preserve">therefore MPI must provide the same sorts of engagement opportunities to all stakeholders (including GIA industry partners). </w:t>
            </w:r>
            <w:r w:rsidR="00692ED1">
              <w:rPr>
                <w:rFonts w:asciiTheme="minorHAnsi" w:hAnsiTheme="minorHAnsi" w:cs="Arial"/>
                <w:bCs/>
                <w:color w:val="auto"/>
                <w:sz w:val="20"/>
                <w:szCs w:val="20"/>
              </w:rPr>
              <w:t xml:space="preserve">A range of government-industry advisory and consultative fora - </w:t>
            </w:r>
            <w:proofErr w:type="spellStart"/>
            <w:r w:rsidR="00692ED1">
              <w:rPr>
                <w:rFonts w:asciiTheme="minorHAnsi" w:hAnsiTheme="minorHAnsi" w:cs="Arial"/>
                <w:bCs/>
                <w:color w:val="auto"/>
                <w:sz w:val="20"/>
                <w:szCs w:val="20"/>
              </w:rPr>
              <w:t>eg</w:t>
            </w:r>
            <w:proofErr w:type="spellEnd"/>
            <w:r w:rsidR="00692ED1">
              <w:rPr>
                <w:rFonts w:asciiTheme="minorHAnsi" w:hAnsiTheme="minorHAnsi" w:cs="Arial"/>
                <w:bCs/>
                <w:color w:val="auto"/>
                <w:sz w:val="20"/>
                <w:szCs w:val="20"/>
              </w:rPr>
              <w:t xml:space="preserve">, PMAC, </w:t>
            </w:r>
            <w:proofErr w:type="spellStart"/>
            <w:r w:rsidR="00692ED1">
              <w:rPr>
                <w:rFonts w:asciiTheme="minorHAnsi" w:hAnsiTheme="minorHAnsi" w:cs="Arial"/>
                <w:bCs/>
                <w:color w:val="auto"/>
                <w:sz w:val="20"/>
                <w:szCs w:val="20"/>
              </w:rPr>
              <w:t>GermAC</w:t>
            </w:r>
            <w:proofErr w:type="spellEnd"/>
            <w:r w:rsidR="00692ED1">
              <w:rPr>
                <w:rFonts w:asciiTheme="minorHAnsi" w:hAnsiTheme="minorHAnsi" w:cs="Arial"/>
                <w:bCs/>
                <w:color w:val="auto"/>
                <w:sz w:val="20"/>
                <w:szCs w:val="20"/>
              </w:rPr>
              <w:t xml:space="preserve">, </w:t>
            </w:r>
            <w:proofErr w:type="spellStart"/>
            <w:r w:rsidR="00692ED1">
              <w:rPr>
                <w:rFonts w:asciiTheme="minorHAnsi" w:hAnsiTheme="minorHAnsi" w:cs="Arial"/>
                <w:bCs/>
                <w:color w:val="auto"/>
                <w:sz w:val="20"/>
                <w:szCs w:val="20"/>
              </w:rPr>
              <w:t>FreshPAC</w:t>
            </w:r>
            <w:proofErr w:type="spellEnd"/>
            <w:r w:rsidR="00692ED1">
              <w:rPr>
                <w:rFonts w:asciiTheme="minorHAnsi" w:hAnsiTheme="minorHAnsi" w:cs="Arial"/>
                <w:bCs/>
                <w:color w:val="auto"/>
                <w:sz w:val="20"/>
                <w:szCs w:val="20"/>
              </w:rPr>
              <w:t>, ATAC – exist to support discussions between government and import industry groups on related issues and opportunities.</w:t>
            </w:r>
            <w:r w:rsidR="00E06541">
              <w:rPr>
                <w:rFonts w:asciiTheme="minorHAnsi" w:hAnsiTheme="minorHAnsi" w:cs="Arial"/>
                <w:bCs/>
                <w:color w:val="auto"/>
                <w:sz w:val="20"/>
                <w:szCs w:val="20"/>
              </w:rPr>
              <w:t xml:space="preserve"> </w:t>
            </w:r>
          </w:p>
          <w:p w14:paraId="41BF3643" w14:textId="25CB8B96" w:rsidR="006E57CC" w:rsidRPr="002E7EF7" w:rsidRDefault="002332F4" w:rsidP="00F43354">
            <w:pPr>
              <w:pStyle w:val="Default"/>
              <w:rPr>
                <w:rFonts w:asciiTheme="minorHAnsi" w:hAnsiTheme="minorHAnsi" w:cs="Arial"/>
                <w:bCs/>
                <w:color w:val="auto"/>
                <w:sz w:val="20"/>
                <w:szCs w:val="20"/>
              </w:rPr>
            </w:pPr>
            <w:r>
              <w:rPr>
                <w:rFonts w:asciiTheme="minorHAnsi" w:hAnsiTheme="minorHAnsi" w:cs="Arial"/>
                <w:bCs/>
                <w:color w:val="auto"/>
                <w:sz w:val="20"/>
                <w:szCs w:val="20"/>
              </w:rPr>
              <w:t xml:space="preserve">Note: </w:t>
            </w:r>
            <w:r w:rsidR="00903B45">
              <w:rPr>
                <w:rFonts w:asciiTheme="minorHAnsi" w:hAnsiTheme="minorHAnsi" w:cs="Arial"/>
                <w:bCs/>
                <w:color w:val="auto"/>
                <w:sz w:val="20"/>
                <w:szCs w:val="20"/>
              </w:rPr>
              <w:t>I</w:t>
            </w:r>
            <w:r w:rsidR="00E06541">
              <w:rPr>
                <w:rFonts w:asciiTheme="minorHAnsi" w:hAnsiTheme="minorHAnsi" w:cs="Arial"/>
                <w:bCs/>
                <w:color w:val="auto"/>
                <w:sz w:val="20"/>
                <w:szCs w:val="20"/>
              </w:rPr>
              <w:t>dentifying</w:t>
            </w:r>
            <w:r w:rsidR="00903B45">
              <w:rPr>
                <w:rFonts w:asciiTheme="minorHAnsi" w:hAnsiTheme="minorHAnsi" w:cs="Arial"/>
                <w:bCs/>
                <w:color w:val="auto"/>
                <w:sz w:val="20"/>
                <w:szCs w:val="20"/>
              </w:rPr>
              <w:t xml:space="preserve"> and managing</w:t>
            </w:r>
            <w:r w:rsidR="00E06541">
              <w:rPr>
                <w:rFonts w:asciiTheme="minorHAnsi" w:hAnsiTheme="minorHAnsi" w:cs="Arial"/>
                <w:bCs/>
                <w:color w:val="auto"/>
                <w:sz w:val="20"/>
                <w:szCs w:val="20"/>
              </w:rPr>
              <w:t xml:space="preserve"> emerging risks through MPI’s Emerging Risk System</w:t>
            </w:r>
            <w:r w:rsidR="009F4984">
              <w:rPr>
                <w:rFonts w:asciiTheme="minorHAnsi" w:hAnsiTheme="minorHAnsi" w:cs="Arial"/>
                <w:bCs/>
                <w:color w:val="auto"/>
                <w:sz w:val="20"/>
                <w:szCs w:val="20"/>
              </w:rPr>
              <w:t xml:space="preserve"> (ERS)</w:t>
            </w:r>
            <w:r w:rsidR="00E06541">
              <w:rPr>
                <w:rFonts w:asciiTheme="minorHAnsi" w:hAnsiTheme="minorHAnsi" w:cs="Arial"/>
                <w:bCs/>
                <w:color w:val="auto"/>
                <w:sz w:val="20"/>
                <w:szCs w:val="20"/>
              </w:rPr>
              <w:t xml:space="preserve"> are </w:t>
            </w:r>
            <w:r w:rsidR="00F43354">
              <w:rPr>
                <w:rFonts w:asciiTheme="minorHAnsi" w:hAnsiTheme="minorHAnsi" w:cs="Arial"/>
                <w:bCs/>
                <w:color w:val="auto"/>
                <w:sz w:val="20"/>
                <w:szCs w:val="20"/>
              </w:rPr>
              <w:t>considered</w:t>
            </w:r>
            <w:r w:rsidR="00903B45">
              <w:rPr>
                <w:rFonts w:asciiTheme="minorHAnsi" w:hAnsiTheme="minorHAnsi" w:cs="Arial"/>
                <w:bCs/>
                <w:color w:val="auto"/>
                <w:sz w:val="20"/>
                <w:szCs w:val="20"/>
              </w:rPr>
              <w:t xml:space="preserve"> a</w:t>
            </w:r>
            <w:r>
              <w:rPr>
                <w:rFonts w:asciiTheme="minorHAnsi" w:hAnsiTheme="minorHAnsi" w:cs="Arial"/>
                <w:bCs/>
                <w:color w:val="auto"/>
                <w:sz w:val="20"/>
                <w:szCs w:val="20"/>
              </w:rPr>
              <w:t xml:space="preserve"> Cross Biosecurity S</w:t>
            </w:r>
            <w:r w:rsidR="00E06541">
              <w:rPr>
                <w:rFonts w:asciiTheme="minorHAnsi" w:hAnsiTheme="minorHAnsi" w:cs="Arial"/>
                <w:bCs/>
                <w:color w:val="auto"/>
                <w:sz w:val="20"/>
                <w:szCs w:val="20"/>
              </w:rPr>
              <w:t>ystem</w:t>
            </w:r>
            <w:r>
              <w:rPr>
                <w:rFonts w:asciiTheme="minorHAnsi" w:hAnsiTheme="minorHAnsi" w:cs="Arial"/>
                <w:bCs/>
                <w:color w:val="auto"/>
                <w:sz w:val="20"/>
                <w:szCs w:val="20"/>
              </w:rPr>
              <w:t xml:space="preserve"> </w:t>
            </w:r>
            <w:r w:rsidR="00903B45">
              <w:rPr>
                <w:rFonts w:asciiTheme="minorHAnsi" w:hAnsiTheme="minorHAnsi" w:cs="Arial"/>
                <w:bCs/>
                <w:color w:val="auto"/>
                <w:sz w:val="20"/>
                <w:szCs w:val="20"/>
              </w:rPr>
              <w:t>activity.</w:t>
            </w:r>
          </w:p>
        </w:tc>
      </w:tr>
      <w:tr w:rsidR="006E57CC" w14:paraId="3DA2D98C" w14:textId="77777777" w:rsidTr="009037C2">
        <w:trPr>
          <w:trHeight w:val="1117"/>
        </w:trPr>
        <w:tc>
          <w:tcPr>
            <w:tcW w:w="5103" w:type="dxa"/>
            <w:shd w:val="clear" w:color="auto" w:fill="FF5050"/>
            <w:vAlign w:val="center"/>
          </w:tcPr>
          <w:p w14:paraId="6CACFC7F" w14:textId="77777777" w:rsidR="006E57CC" w:rsidRPr="001F3EA5" w:rsidRDefault="006E57CC" w:rsidP="006E57CC">
            <w:pPr>
              <w:pStyle w:val="Default"/>
              <w:rPr>
                <w:rFonts w:asciiTheme="minorHAnsi" w:hAnsiTheme="minorHAnsi" w:cs="Arial"/>
                <w:b/>
                <w:color w:val="auto"/>
                <w:sz w:val="20"/>
                <w:szCs w:val="20"/>
              </w:rPr>
            </w:pPr>
            <w:r w:rsidRPr="001F3EA5">
              <w:rPr>
                <w:rFonts w:asciiTheme="minorHAnsi" w:hAnsiTheme="minorHAnsi" w:cs="Arial"/>
                <w:b/>
                <w:color w:val="auto"/>
                <w:sz w:val="20"/>
                <w:szCs w:val="20"/>
              </w:rPr>
              <w:t>Border Interventions</w:t>
            </w:r>
          </w:p>
          <w:p w14:paraId="7B44451E" w14:textId="017F9DCC" w:rsidR="006E57CC" w:rsidRPr="00283ECE" w:rsidRDefault="006E57CC" w:rsidP="006E57CC">
            <w:pPr>
              <w:pStyle w:val="Default"/>
              <w:rPr>
                <w:rFonts w:asciiTheme="minorHAnsi" w:hAnsiTheme="minorHAnsi" w:cs="Arial"/>
                <w:b/>
                <w:color w:val="auto"/>
                <w:sz w:val="20"/>
                <w:szCs w:val="20"/>
              </w:rPr>
            </w:pPr>
            <w:r w:rsidRPr="001F3EA5">
              <w:rPr>
                <w:rFonts w:asciiTheme="minorHAnsi" w:hAnsiTheme="minorHAnsi" w:cs="Arial"/>
                <w:color w:val="auto"/>
                <w:sz w:val="20"/>
                <w:szCs w:val="20"/>
              </w:rPr>
              <w:t>Education and auditing to encourage compliance. Inspecting to verify compliance and taking action to manage non-compliance</w:t>
            </w:r>
          </w:p>
        </w:tc>
        <w:tc>
          <w:tcPr>
            <w:tcW w:w="567" w:type="dxa"/>
            <w:shd w:val="clear" w:color="auto" w:fill="FFF2CC" w:themeFill="accent4" w:themeFillTint="33"/>
            <w:vAlign w:val="center"/>
          </w:tcPr>
          <w:p w14:paraId="051C7E92"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31306575"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D966" w:themeFill="accent4" w:themeFillTint="99"/>
            <w:vAlign w:val="center"/>
          </w:tcPr>
          <w:p w14:paraId="28B0F8BF"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D966" w:themeFill="accent4" w:themeFillTint="99"/>
            <w:vAlign w:val="center"/>
          </w:tcPr>
          <w:p w14:paraId="2843768E"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2F2F2" w:themeFill="background1" w:themeFillShade="F2"/>
            <w:vAlign w:val="center"/>
          </w:tcPr>
          <w:p w14:paraId="3F27DDC8" w14:textId="77777777" w:rsidR="006E57CC" w:rsidRPr="00014B3E" w:rsidRDefault="006E57CC" w:rsidP="006E57CC">
            <w:pPr>
              <w:pStyle w:val="Default"/>
              <w:jc w:val="center"/>
              <w:rPr>
                <w:rFonts w:asciiTheme="minorHAnsi" w:hAnsiTheme="minorHAnsi" w:cs="Arial"/>
                <w:b/>
                <w:bCs/>
                <w:color w:val="0070C0"/>
                <w:sz w:val="20"/>
                <w:szCs w:val="20"/>
              </w:rPr>
            </w:pPr>
          </w:p>
        </w:tc>
        <w:tc>
          <w:tcPr>
            <w:tcW w:w="13887" w:type="dxa"/>
            <w:gridSpan w:val="5"/>
            <w:shd w:val="clear" w:color="auto" w:fill="F3F3F3"/>
            <w:vAlign w:val="center"/>
          </w:tcPr>
          <w:p w14:paraId="77742455" w14:textId="7E5D9398" w:rsidR="006E57CC" w:rsidRPr="00A720D2" w:rsidRDefault="00001B2C" w:rsidP="003B6932">
            <w:pPr>
              <w:pStyle w:val="Default"/>
              <w:rPr>
                <w:rFonts w:asciiTheme="minorHAnsi" w:hAnsiTheme="minorHAnsi" w:cs="Arial"/>
                <w:bCs/>
                <w:color w:val="auto"/>
                <w:sz w:val="20"/>
                <w:szCs w:val="20"/>
              </w:rPr>
            </w:pPr>
            <w:r w:rsidRPr="00A720D2">
              <w:rPr>
                <w:rFonts w:asciiTheme="minorHAnsi" w:hAnsiTheme="minorHAnsi" w:cs="Arial"/>
                <w:bCs/>
                <w:color w:val="auto"/>
                <w:sz w:val="20"/>
                <w:szCs w:val="20"/>
              </w:rPr>
              <w:t xml:space="preserve">Activities in this layer cover the biosecurity clearance of people, goods, and craft via the passenger, mail, cargo, craft and transitional facility pathways. MPI will generally keep stakeholders informed </w:t>
            </w:r>
            <w:r w:rsidR="002234C8" w:rsidRPr="00A720D2">
              <w:rPr>
                <w:rFonts w:asciiTheme="minorHAnsi" w:hAnsiTheme="minorHAnsi" w:cs="Arial"/>
                <w:bCs/>
                <w:color w:val="auto"/>
                <w:sz w:val="20"/>
                <w:szCs w:val="20"/>
              </w:rPr>
              <w:t>of these activities and consult where decisions may have a significant impact</w:t>
            </w:r>
            <w:r w:rsidRPr="00A720D2">
              <w:rPr>
                <w:rFonts w:asciiTheme="minorHAnsi" w:hAnsiTheme="minorHAnsi" w:cs="Arial"/>
                <w:bCs/>
                <w:color w:val="auto"/>
                <w:sz w:val="20"/>
                <w:szCs w:val="20"/>
              </w:rPr>
              <w:t xml:space="preserve"> </w:t>
            </w:r>
            <w:r w:rsidR="002234C8" w:rsidRPr="00A720D2">
              <w:rPr>
                <w:rFonts w:asciiTheme="minorHAnsi" w:hAnsiTheme="minorHAnsi" w:cs="Arial"/>
                <w:bCs/>
                <w:color w:val="auto"/>
                <w:sz w:val="20"/>
                <w:szCs w:val="20"/>
              </w:rPr>
              <w:t>(</w:t>
            </w:r>
            <w:r w:rsidR="00F43354">
              <w:rPr>
                <w:rFonts w:asciiTheme="minorHAnsi" w:hAnsiTheme="minorHAnsi" w:cs="Arial"/>
                <w:bCs/>
                <w:color w:val="auto"/>
                <w:sz w:val="20"/>
                <w:szCs w:val="20"/>
              </w:rPr>
              <w:t xml:space="preserve">Informing, </w:t>
            </w:r>
            <w:r w:rsidR="002234C8" w:rsidRPr="00A720D2">
              <w:rPr>
                <w:rFonts w:asciiTheme="minorHAnsi" w:hAnsiTheme="minorHAnsi" w:cs="Arial"/>
                <w:bCs/>
                <w:color w:val="auto"/>
                <w:sz w:val="20"/>
                <w:szCs w:val="20"/>
              </w:rPr>
              <w:t>Networking)</w:t>
            </w:r>
            <w:r w:rsidR="007E725D" w:rsidRPr="00A720D2">
              <w:rPr>
                <w:rFonts w:asciiTheme="minorHAnsi" w:hAnsiTheme="minorHAnsi" w:cs="Arial"/>
                <w:bCs/>
                <w:color w:val="auto"/>
                <w:sz w:val="20"/>
                <w:szCs w:val="20"/>
              </w:rPr>
              <w:t xml:space="preserve">. Where possible, MPI </w:t>
            </w:r>
            <w:r w:rsidR="0051448E">
              <w:rPr>
                <w:rFonts w:asciiTheme="minorHAnsi" w:hAnsiTheme="minorHAnsi" w:cs="Arial"/>
                <w:bCs/>
                <w:color w:val="auto"/>
                <w:sz w:val="20"/>
                <w:szCs w:val="20"/>
              </w:rPr>
              <w:t xml:space="preserve">and </w:t>
            </w:r>
            <w:r w:rsidR="007E725D" w:rsidRPr="00A720D2">
              <w:rPr>
                <w:rFonts w:asciiTheme="minorHAnsi" w:hAnsiTheme="minorHAnsi" w:cs="Arial"/>
                <w:bCs/>
                <w:color w:val="auto"/>
                <w:sz w:val="20"/>
                <w:szCs w:val="20"/>
              </w:rPr>
              <w:t xml:space="preserve">GIA </w:t>
            </w:r>
            <w:r w:rsidR="0051448E">
              <w:rPr>
                <w:rFonts w:asciiTheme="minorHAnsi" w:hAnsiTheme="minorHAnsi" w:cs="Arial"/>
                <w:bCs/>
                <w:color w:val="auto"/>
                <w:sz w:val="20"/>
                <w:szCs w:val="20"/>
              </w:rPr>
              <w:t xml:space="preserve">industry </w:t>
            </w:r>
            <w:r w:rsidR="007E725D" w:rsidRPr="00A720D2">
              <w:rPr>
                <w:rFonts w:asciiTheme="minorHAnsi" w:hAnsiTheme="minorHAnsi" w:cs="Arial"/>
                <w:bCs/>
                <w:color w:val="auto"/>
                <w:sz w:val="20"/>
                <w:szCs w:val="20"/>
              </w:rPr>
              <w:t xml:space="preserve">partners </w:t>
            </w:r>
            <w:r w:rsidR="0051448E" w:rsidRPr="00A720D2">
              <w:rPr>
                <w:rFonts w:asciiTheme="minorHAnsi" w:hAnsiTheme="minorHAnsi" w:cs="Arial"/>
                <w:bCs/>
                <w:color w:val="auto"/>
                <w:sz w:val="20"/>
                <w:szCs w:val="20"/>
              </w:rPr>
              <w:t xml:space="preserve">will actively cooperate with </w:t>
            </w:r>
            <w:r w:rsidR="0051448E">
              <w:rPr>
                <w:rFonts w:asciiTheme="minorHAnsi" w:hAnsiTheme="minorHAnsi" w:cs="Arial"/>
                <w:bCs/>
                <w:color w:val="auto"/>
                <w:sz w:val="20"/>
                <w:szCs w:val="20"/>
              </w:rPr>
              <w:t xml:space="preserve">each other </w:t>
            </w:r>
            <w:r w:rsidR="007E725D" w:rsidRPr="00A720D2">
              <w:rPr>
                <w:rFonts w:asciiTheme="minorHAnsi" w:hAnsiTheme="minorHAnsi" w:cs="Arial"/>
                <w:bCs/>
                <w:color w:val="auto"/>
                <w:sz w:val="20"/>
                <w:szCs w:val="20"/>
              </w:rPr>
              <w:t xml:space="preserve">and </w:t>
            </w:r>
            <w:r w:rsidR="0051448E">
              <w:rPr>
                <w:rFonts w:asciiTheme="minorHAnsi" w:hAnsiTheme="minorHAnsi" w:cs="Arial"/>
                <w:bCs/>
                <w:color w:val="auto"/>
                <w:sz w:val="20"/>
                <w:szCs w:val="20"/>
              </w:rPr>
              <w:t>may</w:t>
            </w:r>
            <w:r w:rsidR="007E725D" w:rsidRPr="00A720D2">
              <w:rPr>
                <w:rFonts w:asciiTheme="minorHAnsi" w:hAnsiTheme="minorHAnsi" w:cs="Arial"/>
                <w:bCs/>
                <w:color w:val="auto"/>
                <w:sz w:val="20"/>
                <w:szCs w:val="20"/>
              </w:rPr>
              <w:t xml:space="preserve"> enter into more formal collaborations</w:t>
            </w:r>
            <w:r w:rsidR="0051448E">
              <w:rPr>
                <w:rFonts w:asciiTheme="minorHAnsi" w:hAnsiTheme="minorHAnsi" w:cs="Arial"/>
                <w:bCs/>
                <w:color w:val="auto"/>
                <w:sz w:val="20"/>
                <w:szCs w:val="20"/>
              </w:rPr>
              <w:t xml:space="preserve"> </w:t>
            </w:r>
            <w:r w:rsidR="007E725D" w:rsidRPr="00A720D2">
              <w:rPr>
                <w:rFonts w:asciiTheme="minorHAnsi" w:hAnsiTheme="minorHAnsi" w:cs="Arial"/>
                <w:bCs/>
                <w:color w:val="auto"/>
                <w:sz w:val="20"/>
                <w:szCs w:val="20"/>
              </w:rPr>
              <w:t xml:space="preserve">– for example through development and delivery of education programmes to encourage compliance. Managing non-compliance is one activity where MPI </w:t>
            </w:r>
            <w:r w:rsidR="003B6932">
              <w:rPr>
                <w:rFonts w:asciiTheme="minorHAnsi" w:hAnsiTheme="minorHAnsi" w:cs="Arial"/>
                <w:bCs/>
                <w:color w:val="auto"/>
                <w:sz w:val="20"/>
                <w:szCs w:val="20"/>
              </w:rPr>
              <w:t xml:space="preserve">will </w:t>
            </w:r>
            <w:r w:rsidR="007E725D" w:rsidRPr="00A720D2">
              <w:rPr>
                <w:rFonts w:asciiTheme="minorHAnsi" w:hAnsiTheme="minorHAnsi" w:cs="Arial"/>
                <w:bCs/>
                <w:color w:val="auto"/>
                <w:sz w:val="20"/>
                <w:szCs w:val="20"/>
              </w:rPr>
              <w:t>only ever engage to the level of Inform.</w:t>
            </w:r>
          </w:p>
        </w:tc>
      </w:tr>
      <w:tr w:rsidR="006E57CC" w14:paraId="755AC44A" w14:textId="77777777" w:rsidTr="009037C2">
        <w:trPr>
          <w:trHeight w:val="1417"/>
        </w:trPr>
        <w:tc>
          <w:tcPr>
            <w:tcW w:w="5103" w:type="dxa"/>
            <w:shd w:val="clear" w:color="auto" w:fill="FFFF66"/>
            <w:vAlign w:val="center"/>
          </w:tcPr>
          <w:p w14:paraId="3CCFBFC6" w14:textId="77777777" w:rsidR="006E57CC" w:rsidRDefault="006E57CC" w:rsidP="006E57CC">
            <w:pPr>
              <w:pStyle w:val="Default"/>
              <w:rPr>
                <w:rFonts w:asciiTheme="minorHAnsi" w:hAnsiTheme="minorHAnsi" w:cs="Arial"/>
                <w:b/>
                <w:color w:val="auto"/>
                <w:sz w:val="20"/>
                <w:szCs w:val="20"/>
              </w:rPr>
            </w:pPr>
            <w:r w:rsidRPr="00283ECE">
              <w:rPr>
                <w:rFonts w:asciiTheme="minorHAnsi" w:hAnsiTheme="minorHAnsi" w:cs="Arial"/>
                <w:b/>
                <w:color w:val="auto"/>
                <w:sz w:val="20"/>
                <w:szCs w:val="20"/>
              </w:rPr>
              <w:t>Surveillance</w:t>
            </w:r>
          </w:p>
          <w:p w14:paraId="067F848B" w14:textId="1E8759FA" w:rsidR="006E57CC" w:rsidRPr="00283ECE" w:rsidRDefault="006E57CC" w:rsidP="006E57CC">
            <w:pPr>
              <w:pStyle w:val="Default"/>
              <w:rPr>
                <w:rFonts w:asciiTheme="minorHAnsi" w:hAnsiTheme="minorHAnsi" w:cs="Arial"/>
                <w:b/>
                <w:color w:val="auto"/>
                <w:sz w:val="20"/>
                <w:szCs w:val="20"/>
              </w:rPr>
            </w:pPr>
            <w:r>
              <w:rPr>
                <w:rFonts w:asciiTheme="minorHAnsi" w:hAnsiTheme="minorHAnsi" w:cs="Arial"/>
                <w:color w:val="auto"/>
                <w:sz w:val="20"/>
                <w:szCs w:val="20"/>
              </w:rPr>
              <w:t>General &amp; targeted programmes to detect harmful pests &amp; diseases</w:t>
            </w:r>
          </w:p>
        </w:tc>
        <w:tc>
          <w:tcPr>
            <w:tcW w:w="567" w:type="dxa"/>
            <w:shd w:val="clear" w:color="auto" w:fill="FFF2CC" w:themeFill="accent4" w:themeFillTint="33"/>
            <w:vAlign w:val="center"/>
          </w:tcPr>
          <w:p w14:paraId="650C79E0"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2AAC6BBF"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33AE3FBA"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tcBorders>
              <w:bottom w:val="single" w:sz="4" w:space="0" w:color="auto"/>
            </w:tcBorders>
            <w:shd w:val="clear" w:color="auto" w:fill="FFD966"/>
            <w:vAlign w:val="center"/>
          </w:tcPr>
          <w:p w14:paraId="3ECF8508"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D966"/>
            <w:vAlign w:val="center"/>
          </w:tcPr>
          <w:p w14:paraId="3A2F622B" w14:textId="77777777" w:rsidR="006E57CC" w:rsidRPr="00014B3E" w:rsidRDefault="006E57CC" w:rsidP="006E57CC">
            <w:pPr>
              <w:pStyle w:val="Default"/>
              <w:jc w:val="center"/>
              <w:rPr>
                <w:rFonts w:asciiTheme="minorHAnsi" w:hAnsiTheme="minorHAnsi" w:cs="Arial"/>
                <w:b/>
                <w:bCs/>
                <w:color w:val="0070C0"/>
                <w:sz w:val="20"/>
                <w:szCs w:val="20"/>
              </w:rPr>
            </w:pPr>
          </w:p>
        </w:tc>
        <w:tc>
          <w:tcPr>
            <w:tcW w:w="13887" w:type="dxa"/>
            <w:gridSpan w:val="5"/>
            <w:shd w:val="clear" w:color="auto" w:fill="F3F3F3"/>
            <w:vAlign w:val="center"/>
          </w:tcPr>
          <w:p w14:paraId="13F69264" w14:textId="63F47921" w:rsidR="006E57CC" w:rsidRPr="00A720D2" w:rsidRDefault="00471AC1" w:rsidP="003B2361">
            <w:pPr>
              <w:pStyle w:val="Default"/>
              <w:rPr>
                <w:rFonts w:asciiTheme="minorHAnsi" w:hAnsiTheme="minorHAnsi" w:cs="Arial"/>
                <w:bCs/>
                <w:color w:val="auto"/>
                <w:sz w:val="20"/>
                <w:szCs w:val="20"/>
              </w:rPr>
            </w:pPr>
            <w:r w:rsidRPr="00A720D2">
              <w:rPr>
                <w:rFonts w:asciiTheme="minorHAnsi" w:hAnsiTheme="minorHAnsi" w:cs="Arial"/>
                <w:bCs/>
                <w:color w:val="auto"/>
                <w:sz w:val="20"/>
                <w:szCs w:val="20"/>
              </w:rPr>
              <w:t>This layer encompasses a wide range of ac</w:t>
            </w:r>
            <w:r w:rsidR="00774ECE" w:rsidRPr="00A720D2">
              <w:rPr>
                <w:rFonts w:asciiTheme="minorHAnsi" w:hAnsiTheme="minorHAnsi" w:cs="Arial"/>
                <w:bCs/>
                <w:color w:val="auto"/>
                <w:sz w:val="20"/>
                <w:szCs w:val="20"/>
              </w:rPr>
              <w:t>tivities including development and implementation of general and targeted surveillance programmes, maintenance of the 0800 pest and disease hotline and national reference laboratories,</w:t>
            </w:r>
            <w:r w:rsidR="00F43354">
              <w:rPr>
                <w:rFonts w:asciiTheme="minorHAnsi" w:hAnsiTheme="minorHAnsi" w:cs="Arial"/>
                <w:bCs/>
                <w:color w:val="auto"/>
                <w:sz w:val="20"/>
                <w:szCs w:val="20"/>
              </w:rPr>
              <w:t xml:space="preserve"> and</w:t>
            </w:r>
            <w:r w:rsidR="00774ECE" w:rsidRPr="00A720D2">
              <w:rPr>
                <w:rFonts w:asciiTheme="minorHAnsi" w:hAnsiTheme="minorHAnsi" w:cs="Arial"/>
                <w:bCs/>
                <w:color w:val="auto"/>
                <w:sz w:val="20"/>
                <w:szCs w:val="20"/>
              </w:rPr>
              <w:t xml:space="preserve"> diagnostics </w:t>
            </w:r>
            <w:r w:rsidR="00F43354">
              <w:rPr>
                <w:rFonts w:asciiTheme="minorHAnsi" w:hAnsiTheme="minorHAnsi" w:cs="Arial"/>
                <w:bCs/>
                <w:color w:val="auto"/>
                <w:sz w:val="20"/>
                <w:szCs w:val="20"/>
              </w:rPr>
              <w:t>for surveillance,</w:t>
            </w:r>
            <w:r w:rsidR="00774ECE" w:rsidRPr="00A720D2">
              <w:rPr>
                <w:rFonts w:asciiTheme="minorHAnsi" w:hAnsiTheme="minorHAnsi" w:cs="Arial"/>
                <w:bCs/>
                <w:color w:val="auto"/>
                <w:sz w:val="20"/>
                <w:szCs w:val="20"/>
              </w:rPr>
              <w:t xml:space="preserve"> investigation, import and export testing, </w:t>
            </w:r>
            <w:r w:rsidR="00F43354">
              <w:rPr>
                <w:rFonts w:asciiTheme="minorHAnsi" w:hAnsiTheme="minorHAnsi" w:cs="Arial"/>
                <w:bCs/>
                <w:color w:val="auto"/>
                <w:sz w:val="20"/>
                <w:szCs w:val="20"/>
              </w:rPr>
              <w:t xml:space="preserve">and </w:t>
            </w:r>
            <w:r w:rsidR="00774ECE" w:rsidRPr="00A720D2">
              <w:rPr>
                <w:rFonts w:asciiTheme="minorHAnsi" w:hAnsiTheme="minorHAnsi" w:cs="Arial"/>
                <w:bCs/>
                <w:color w:val="auto"/>
                <w:sz w:val="20"/>
                <w:szCs w:val="20"/>
              </w:rPr>
              <w:t>international and domestic reporting to changes in NZ’s biosecurity status. The level of engagement that</w:t>
            </w:r>
            <w:r w:rsidR="00A720D2" w:rsidRPr="00A720D2">
              <w:rPr>
                <w:rFonts w:asciiTheme="minorHAnsi" w:hAnsiTheme="minorHAnsi" w:cs="Arial"/>
                <w:bCs/>
                <w:color w:val="auto"/>
                <w:sz w:val="20"/>
                <w:szCs w:val="20"/>
              </w:rPr>
              <w:t xml:space="preserve"> occurs between MPI and stakeholders</w:t>
            </w:r>
            <w:r w:rsidR="003B2361">
              <w:rPr>
                <w:rFonts w:asciiTheme="minorHAnsi" w:hAnsiTheme="minorHAnsi" w:cs="Arial"/>
                <w:bCs/>
                <w:color w:val="auto"/>
                <w:sz w:val="20"/>
                <w:szCs w:val="20"/>
              </w:rPr>
              <w:t xml:space="preserve"> ranges from Inform to Cooperate</w:t>
            </w:r>
            <w:r w:rsidR="00A720D2" w:rsidRPr="00A720D2">
              <w:rPr>
                <w:rFonts w:asciiTheme="minorHAnsi" w:hAnsiTheme="minorHAnsi" w:cs="Arial"/>
                <w:bCs/>
                <w:color w:val="auto"/>
                <w:sz w:val="20"/>
                <w:szCs w:val="20"/>
              </w:rPr>
              <w:t xml:space="preserve"> depending on the</w:t>
            </w:r>
            <w:r w:rsidR="00774ECE" w:rsidRPr="00A720D2">
              <w:rPr>
                <w:rFonts w:asciiTheme="minorHAnsi" w:hAnsiTheme="minorHAnsi" w:cs="Arial"/>
                <w:bCs/>
                <w:color w:val="auto"/>
                <w:sz w:val="20"/>
                <w:szCs w:val="20"/>
              </w:rPr>
              <w:t xml:space="preserve"> activity (refer Table Two)</w:t>
            </w:r>
            <w:r w:rsidR="00A720D2" w:rsidRPr="00A720D2">
              <w:rPr>
                <w:rFonts w:asciiTheme="minorHAnsi" w:hAnsiTheme="minorHAnsi" w:cs="Arial"/>
                <w:bCs/>
                <w:color w:val="auto"/>
                <w:sz w:val="20"/>
                <w:szCs w:val="20"/>
              </w:rPr>
              <w:t xml:space="preserve">. </w:t>
            </w:r>
            <w:r w:rsidR="003B2361">
              <w:rPr>
                <w:rFonts w:asciiTheme="minorHAnsi" w:hAnsiTheme="minorHAnsi" w:cs="Arial"/>
                <w:bCs/>
                <w:color w:val="auto"/>
                <w:sz w:val="20"/>
                <w:szCs w:val="20"/>
              </w:rPr>
              <w:t>U</w:t>
            </w:r>
            <w:r w:rsidR="00A720D2" w:rsidRPr="00A720D2">
              <w:rPr>
                <w:rFonts w:asciiTheme="minorHAnsi" w:hAnsiTheme="minorHAnsi" w:cs="Arial"/>
                <w:bCs/>
                <w:color w:val="auto"/>
                <w:sz w:val="20"/>
                <w:szCs w:val="20"/>
              </w:rPr>
              <w:t xml:space="preserve">nder GIA, </w:t>
            </w:r>
            <w:r w:rsidR="003B2361">
              <w:rPr>
                <w:rFonts w:asciiTheme="minorHAnsi" w:hAnsiTheme="minorHAnsi" w:cs="Arial"/>
                <w:bCs/>
                <w:color w:val="auto"/>
                <w:sz w:val="20"/>
                <w:szCs w:val="20"/>
              </w:rPr>
              <w:t xml:space="preserve">however, </w:t>
            </w:r>
            <w:r w:rsidR="00A720D2" w:rsidRPr="00A720D2">
              <w:rPr>
                <w:rFonts w:asciiTheme="minorHAnsi" w:hAnsiTheme="minorHAnsi" w:cs="Arial"/>
                <w:bCs/>
                <w:color w:val="auto"/>
                <w:sz w:val="20"/>
                <w:szCs w:val="20"/>
              </w:rPr>
              <w:t xml:space="preserve">MPI and GIA industry Partners </w:t>
            </w:r>
            <w:r w:rsidR="003B6932">
              <w:rPr>
                <w:rFonts w:asciiTheme="minorHAnsi" w:hAnsiTheme="minorHAnsi" w:cs="Arial"/>
                <w:bCs/>
                <w:color w:val="auto"/>
                <w:sz w:val="20"/>
                <w:szCs w:val="20"/>
              </w:rPr>
              <w:t>can</w:t>
            </w:r>
            <w:r w:rsidR="00A720D2" w:rsidRPr="00A720D2">
              <w:rPr>
                <w:rFonts w:asciiTheme="minorHAnsi" w:hAnsiTheme="minorHAnsi" w:cs="Arial"/>
                <w:bCs/>
                <w:color w:val="auto"/>
                <w:sz w:val="20"/>
                <w:szCs w:val="20"/>
              </w:rPr>
              <w:t xml:space="preserve"> collaborate </w:t>
            </w:r>
            <w:r w:rsidR="00A720D2">
              <w:rPr>
                <w:rFonts w:asciiTheme="minorHAnsi" w:hAnsiTheme="minorHAnsi" w:cs="Arial"/>
                <w:bCs/>
                <w:color w:val="auto"/>
                <w:sz w:val="20"/>
                <w:szCs w:val="20"/>
              </w:rPr>
              <w:t>or</w:t>
            </w:r>
            <w:r w:rsidR="00A720D2" w:rsidRPr="00A720D2">
              <w:rPr>
                <w:rFonts w:asciiTheme="minorHAnsi" w:hAnsiTheme="minorHAnsi" w:cs="Arial"/>
                <w:bCs/>
                <w:color w:val="auto"/>
                <w:sz w:val="20"/>
                <w:szCs w:val="20"/>
              </w:rPr>
              <w:t xml:space="preserve"> partner on </w:t>
            </w:r>
            <w:r w:rsidR="00A720D2">
              <w:rPr>
                <w:rFonts w:asciiTheme="minorHAnsi" w:hAnsiTheme="minorHAnsi" w:cs="Arial"/>
                <w:bCs/>
                <w:color w:val="auto"/>
                <w:sz w:val="20"/>
                <w:szCs w:val="20"/>
              </w:rPr>
              <w:t xml:space="preserve">surveillance </w:t>
            </w:r>
            <w:r w:rsidR="003B2361">
              <w:rPr>
                <w:rFonts w:asciiTheme="minorHAnsi" w:hAnsiTheme="minorHAnsi" w:cs="Arial"/>
                <w:bCs/>
                <w:color w:val="auto"/>
                <w:sz w:val="20"/>
                <w:szCs w:val="20"/>
              </w:rPr>
              <w:t xml:space="preserve">programme </w:t>
            </w:r>
            <w:r w:rsidR="00A720D2">
              <w:rPr>
                <w:rFonts w:asciiTheme="minorHAnsi" w:hAnsiTheme="minorHAnsi" w:cs="Arial"/>
                <w:bCs/>
                <w:color w:val="auto"/>
                <w:sz w:val="20"/>
                <w:szCs w:val="20"/>
              </w:rPr>
              <w:t>activities</w:t>
            </w:r>
            <w:r w:rsidR="00A720D2">
              <w:rPr>
                <w:rStyle w:val="FootnoteReference"/>
                <w:rFonts w:asciiTheme="minorHAnsi" w:hAnsiTheme="minorHAnsi" w:cs="Arial"/>
                <w:bCs/>
                <w:color w:val="auto"/>
                <w:sz w:val="20"/>
                <w:szCs w:val="20"/>
              </w:rPr>
              <w:footnoteReference w:id="3"/>
            </w:r>
            <w:r w:rsidR="00A720D2" w:rsidRPr="00A720D2">
              <w:rPr>
                <w:rFonts w:asciiTheme="minorHAnsi" w:hAnsiTheme="minorHAnsi" w:cs="Arial"/>
                <w:bCs/>
                <w:color w:val="auto"/>
                <w:sz w:val="20"/>
                <w:szCs w:val="20"/>
              </w:rPr>
              <w:t xml:space="preserve"> they agree are a joint priority and</w:t>
            </w:r>
            <w:r w:rsidR="00B26C61">
              <w:rPr>
                <w:rFonts w:asciiTheme="minorHAnsi" w:hAnsiTheme="minorHAnsi" w:cs="Arial"/>
                <w:bCs/>
                <w:color w:val="auto"/>
                <w:sz w:val="20"/>
                <w:szCs w:val="20"/>
              </w:rPr>
              <w:t xml:space="preserve"> that</w:t>
            </w:r>
            <w:r w:rsidR="00A720D2" w:rsidRPr="00A720D2">
              <w:rPr>
                <w:rFonts w:asciiTheme="minorHAnsi" w:hAnsiTheme="minorHAnsi" w:cs="Arial"/>
                <w:bCs/>
                <w:color w:val="auto"/>
                <w:sz w:val="20"/>
                <w:szCs w:val="20"/>
              </w:rPr>
              <w:t xml:space="preserve"> have been made subject to a</w:t>
            </w:r>
            <w:r w:rsidR="00A720D2">
              <w:rPr>
                <w:rFonts w:asciiTheme="minorHAnsi" w:hAnsiTheme="minorHAnsi" w:cs="Arial"/>
                <w:bCs/>
                <w:color w:val="auto"/>
                <w:sz w:val="20"/>
                <w:szCs w:val="20"/>
              </w:rPr>
              <w:t>n Operational Agreement.</w:t>
            </w:r>
          </w:p>
        </w:tc>
      </w:tr>
      <w:tr w:rsidR="006E57CC" w14:paraId="61F00AA4" w14:textId="77777777" w:rsidTr="009037C2">
        <w:trPr>
          <w:trHeight w:val="1409"/>
        </w:trPr>
        <w:tc>
          <w:tcPr>
            <w:tcW w:w="5103" w:type="dxa"/>
            <w:shd w:val="clear" w:color="auto" w:fill="927AAD"/>
            <w:vAlign w:val="center"/>
          </w:tcPr>
          <w:p w14:paraId="4993813E" w14:textId="77777777" w:rsidR="006E57CC" w:rsidRDefault="006E57CC" w:rsidP="006E57CC">
            <w:pPr>
              <w:pStyle w:val="Default"/>
              <w:rPr>
                <w:rFonts w:asciiTheme="minorHAnsi" w:hAnsiTheme="minorHAnsi" w:cs="Arial"/>
                <w:b/>
                <w:color w:val="auto"/>
                <w:sz w:val="20"/>
                <w:szCs w:val="20"/>
              </w:rPr>
            </w:pPr>
            <w:r w:rsidRPr="00283ECE">
              <w:rPr>
                <w:rFonts w:asciiTheme="minorHAnsi" w:hAnsiTheme="minorHAnsi" w:cs="Arial"/>
                <w:b/>
                <w:color w:val="auto"/>
                <w:sz w:val="20"/>
                <w:szCs w:val="20"/>
              </w:rPr>
              <w:t>Readiness &amp; Response</w:t>
            </w:r>
          </w:p>
          <w:p w14:paraId="5D6A7D51" w14:textId="34D7E1A6" w:rsidR="006E57CC" w:rsidRPr="00283ECE" w:rsidRDefault="006E57CC" w:rsidP="006E57CC">
            <w:pPr>
              <w:pStyle w:val="Default"/>
              <w:rPr>
                <w:rFonts w:asciiTheme="minorHAnsi" w:hAnsiTheme="minorHAnsi" w:cs="Arial"/>
                <w:b/>
                <w:color w:val="auto"/>
                <w:sz w:val="20"/>
                <w:szCs w:val="20"/>
              </w:rPr>
            </w:pPr>
            <w:r>
              <w:rPr>
                <w:rFonts w:asciiTheme="minorHAnsi" w:hAnsiTheme="minorHAnsi" w:cs="Arial"/>
                <w:color w:val="auto"/>
                <w:sz w:val="20"/>
                <w:szCs w:val="20"/>
              </w:rPr>
              <w:t>Regular testing of the biosecurity system’s capability to re</w:t>
            </w:r>
            <w:r w:rsidR="00F43354">
              <w:rPr>
                <w:rFonts w:asciiTheme="minorHAnsi" w:hAnsiTheme="minorHAnsi" w:cs="Arial"/>
                <w:color w:val="auto"/>
                <w:sz w:val="20"/>
                <w:szCs w:val="20"/>
              </w:rPr>
              <w:t>s</w:t>
            </w:r>
            <w:r>
              <w:rPr>
                <w:rFonts w:asciiTheme="minorHAnsi" w:hAnsiTheme="minorHAnsi" w:cs="Arial"/>
                <w:color w:val="auto"/>
                <w:sz w:val="20"/>
                <w:szCs w:val="20"/>
              </w:rPr>
              <w:t>pond; Responding to detected harmful pests &amp; diseases</w:t>
            </w:r>
          </w:p>
        </w:tc>
        <w:tc>
          <w:tcPr>
            <w:tcW w:w="567" w:type="dxa"/>
            <w:shd w:val="clear" w:color="auto" w:fill="FFF2CC" w:themeFill="accent4" w:themeFillTint="33"/>
            <w:vAlign w:val="center"/>
          </w:tcPr>
          <w:p w14:paraId="59567806"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654751B9"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7C171459"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tcBorders>
              <w:bottom w:val="single" w:sz="4" w:space="0" w:color="auto"/>
            </w:tcBorders>
            <w:shd w:val="clear" w:color="auto" w:fill="FFD966"/>
            <w:vAlign w:val="center"/>
          </w:tcPr>
          <w:p w14:paraId="1C749AFD"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D966" w:themeFill="accent4" w:themeFillTint="99"/>
            <w:vAlign w:val="center"/>
          </w:tcPr>
          <w:p w14:paraId="406A8ABE" w14:textId="77777777" w:rsidR="006E57CC" w:rsidRPr="00014B3E" w:rsidRDefault="006E57CC" w:rsidP="006E57CC">
            <w:pPr>
              <w:pStyle w:val="Default"/>
              <w:jc w:val="center"/>
              <w:rPr>
                <w:rFonts w:asciiTheme="minorHAnsi" w:hAnsiTheme="minorHAnsi" w:cs="Arial"/>
                <w:b/>
                <w:bCs/>
                <w:color w:val="0070C0"/>
                <w:sz w:val="20"/>
                <w:szCs w:val="20"/>
              </w:rPr>
            </w:pPr>
          </w:p>
        </w:tc>
        <w:tc>
          <w:tcPr>
            <w:tcW w:w="13887" w:type="dxa"/>
            <w:gridSpan w:val="5"/>
            <w:shd w:val="clear" w:color="auto" w:fill="F3F3F3"/>
            <w:vAlign w:val="center"/>
          </w:tcPr>
          <w:p w14:paraId="5E64F3F6" w14:textId="64C5F0F7" w:rsidR="006E57CC" w:rsidRPr="00F26F26" w:rsidRDefault="003B6932" w:rsidP="000C5329">
            <w:pPr>
              <w:pStyle w:val="Default"/>
            </w:pPr>
            <w:r w:rsidRPr="00A720D2">
              <w:rPr>
                <w:rFonts w:asciiTheme="minorHAnsi" w:hAnsiTheme="minorHAnsi" w:cs="Arial"/>
                <w:bCs/>
                <w:color w:val="auto"/>
                <w:sz w:val="20"/>
                <w:szCs w:val="20"/>
              </w:rPr>
              <w:t>Under GIA,</w:t>
            </w:r>
            <w:r w:rsidR="00880CFE">
              <w:rPr>
                <w:rFonts w:asciiTheme="minorHAnsi" w:hAnsiTheme="minorHAnsi" w:cs="Arial"/>
                <w:bCs/>
                <w:color w:val="auto"/>
                <w:sz w:val="20"/>
                <w:szCs w:val="20"/>
              </w:rPr>
              <w:t xml:space="preserve"> MPI and individual GIA industry partners will work together to develop a biosecurity profile for the sector. The Biosecurity Profile </w:t>
            </w:r>
            <w:r w:rsidR="000C5329">
              <w:rPr>
                <w:rFonts w:asciiTheme="minorHAnsi" w:hAnsiTheme="minorHAnsi" w:cs="Arial"/>
                <w:bCs/>
                <w:color w:val="auto"/>
                <w:sz w:val="20"/>
                <w:szCs w:val="20"/>
              </w:rPr>
              <w:t xml:space="preserve">can help MPI staff develop a better understanding of the sector, and </w:t>
            </w:r>
            <w:r w:rsidR="00880CFE">
              <w:rPr>
                <w:rFonts w:asciiTheme="minorHAnsi" w:hAnsiTheme="minorHAnsi" w:cs="Arial"/>
                <w:bCs/>
                <w:color w:val="auto"/>
                <w:sz w:val="20"/>
                <w:szCs w:val="20"/>
              </w:rPr>
              <w:t>support more informed conversations about biosecurity system issues of relevance</w:t>
            </w:r>
            <w:r w:rsidR="000C5329">
              <w:rPr>
                <w:rFonts w:asciiTheme="minorHAnsi" w:hAnsiTheme="minorHAnsi" w:cs="Arial"/>
                <w:bCs/>
                <w:color w:val="auto"/>
                <w:sz w:val="20"/>
                <w:szCs w:val="20"/>
              </w:rPr>
              <w:t xml:space="preserve"> </w:t>
            </w:r>
            <w:r w:rsidR="00880CFE">
              <w:rPr>
                <w:rFonts w:asciiTheme="minorHAnsi" w:hAnsiTheme="minorHAnsi" w:cs="Arial"/>
                <w:bCs/>
                <w:color w:val="auto"/>
                <w:sz w:val="20"/>
                <w:szCs w:val="20"/>
              </w:rPr>
              <w:t xml:space="preserve">– including </w:t>
            </w:r>
            <w:r w:rsidR="000C5329">
              <w:rPr>
                <w:rFonts w:asciiTheme="minorHAnsi" w:hAnsiTheme="minorHAnsi" w:cs="Arial"/>
                <w:bCs/>
                <w:color w:val="auto"/>
                <w:sz w:val="20"/>
                <w:szCs w:val="20"/>
              </w:rPr>
              <w:t xml:space="preserve">in </w:t>
            </w:r>
            <w:r w:rsidR="00880CFE">
              <w:rPr>
                <w:rFonts w:asciiTheme="minorHAnsi" w:hAnsiTheme="minorHAnsi" w:cs="Arial"/>
                <w:bCs/>
                <w:color w:val="auto"/>
                <w:sz w:val="20"/>
                <w:szCs w:val="20"/>
              </w:rPr>
              <w:t xml:space="preserve">Readiness and Response. </w:t>
            </w:r>
            <w:r w:rsidRPr="00A720D2">
              <w:rPr>
                <w:rFonts w:asciiTheme="minorHAnsi" w:hAnsiTheme="minorHAnsi" w:cs="Arial"/>
                <w:bCs/>
                <w:color w:val="auto"/>
                <w:sz w:val="20"/>
                <w:szCs w:val="20"/>
              </w:rPr>
              <w:t xml:space="preserve">MPI and GIA industry Partners </w:t>
            </w:r>
            <w:r>
              <w:rPr>
                <w:rFonts w:asciiTheme="minorHAnsi" w:hAnsiTheme="minorHAnsi" w:cs="Arial"/>
                <w:bCs/>
                <w:color w:val="auto"/>
                <w:sz w:val="20"/>
                <w:szCs w:val="20"/>
              </w:rPr>
              <w:t>can</w:t>
            </w:r>
            <w:r w:rsidRPr="00A720D2">
              <w:rPr>
                <w:rFonts w:asciiTheme="minorHAnsi" w:hAnsiTheme="minorHAnsi" w:cs="Arial"/>
                <w:bCs/>
                <w:color w:val="auto"/>
                <w:sz w:val="20"/>
                <w:szCs w:val="20"/>
              </w:rPr>
              <w:t xml:space="preserve"> collaborate </w:t>
            </w:r>
            <w:r>
              <w:rPr>
                <w:rFonts w:asciiTheme="minorHAnsi" w:hAnsiTheme="minorHAnsi" w:cs="Arial"/>
                <w:bCs/>
                <w:color w:val="auto"/>
                <w:sz w:val="20"/>
                <w:szCs w:val="20"/>
              </w:rPr>
              <w:t>or</w:t>
            </w:r>
            <w:r w:rsidRPr="00A720D2">
              <w:rPr>
                <w:rFonts w:asciiTheme="minorHAnsi" w:hAnsiTheme="minorHAnsi" w:cs="Arial"/>
                <w:bCs/>
                <w:color w:val="auto"/>
                <w:sz w:val="20"/>
                <w:szCs w:val="20"/>
              </w:rPr>
              <w:t xml:space="preserve"> partner on </w:t>
            </w:r>
            <w:r>
              <w:rPr>
                <w:rFonts w:asciiTheme="minorHAnsi" w:hAnsiTheme="minorHAnsi" w:cs="Arial"/>
                <w:bCs/>
                <w:color w:val="auto"/>
                <w:sz w:val="20"/>
                <w:szCs w:val="20"/>
              </w:rPr>
              <w:t>readiness activities</w:t>
            </w:r>
            <w:r w:rsidRPr="00A720D2">
              <w:rPr>
                <w:rFonts w:asciiTheme="minorHAnsi" w:hAnsiTheme="minorHAnsi" w:cs="Arial"/>
                <w:bCs/>
                <w:color w:val="auto"/>
                <w:sz w:val="20"/>
                <w:szCs w:val="20"/>
              </w:rPr>
              <w:t xml:space="preserve"> they agree are a joint priority and</w:t>
            </w:r>
            <w:r>
              <w:rPr>
                <w:rFonts w:asciiTheme="minorHAnsi" w:hAnsiTheme="minorHAnsi" w:cs="Arial"/>
                <w:bCs/>
                <w:color w:val="auto"/>
                <w:sz w:val="20"/>
                <w:szCs w:val="20"/>
              </w:rPr>
              <w:t xml:space="preserve"> that</w:t>
            </w:r>
            <w:r w:rsidRPr="00A720D2">
              <w:rPr>
                <w:rFonts w:asciiTheme="minorHAnsi" w:hAnsiTheme="minorHAnsi" w:cs="Arial"/>
                <w:bCs/>
                <w:color w:val="auto"/>
                <w:sz w:val="20"/>
                <w:szCs w:val="20"/>
              </w:rPr>
              <w:t xml:space="preserve"> have been made subject to a</w:t>
            </w:r>
            <w:r>
              <w:rPr>
                <w:rFonts w:asciiTheme="minorHAnsi" w:hAnsiTheme="minorHAnsi" w:cs="Arial"/>
                <w:bCs/>
                <w:color w:val="auto"/>
                <w:sz w:val="20"/>
                <w:szCs w:val="20"/>
              </w:rPr>
              <w:t>n Operational Agreement. MPI and GIA industry Partners will also partner through joint decision-making and cost-sharing on responses to harmful pests and diseases – as set out</w:t>
            </w:r>
            <w:r w:rsidR="00E5743C">
              <w:rPr>
                <w:rFonts w:asciiTheme="minorHAnsi" w:hAnsiTheme="minorHAnsi" w:cs="Arial"/>
                <w:bCs/>
                <w:color w:val="auto"/>
                <w:sz w:val="20"/>
                <w:szCs w:val="20"/>
              </w:rPr>
              <w:t xml:space="preserve"> in a pre-agreed or ‘Rapid’</w:t>
            </w:r>
            <w:r>
              <w:rPr>
                <w:rFonts w:asciiTheme="minorHAnsi" w:hAnsiTheme="minorHAnsi" w:cs="Arial"/>
                <w:bCs/>
                <w:color w:val="auto"/>
                <w:sz w:val="20"/>
                <w:szCs w:val="20"/>
              </w:rPr>
              <w:t xml:space="preserve"> Operational Agreement. </w:t>
            </w:r>
          </w:p>
        </w:tc>
      </w:tr>
      <w:tr w:rsidR="006E57CC" w14:paraId="6DCE792B" w14:textId="77777777" w:rsidTr="009037C2">
        <w:trPr>
          <w:trHeight w:val="191"/>
        </w:trPr>
        <w:tc>
          <w:tcPr>
            <w:tcW w:w="5103" w:type="dxa"/>
            <w:shd w:val="clear" w:color="auto" w:fill="F59D56"/>
            <w:vAlign w:val="center"/>
          </w:tcPr>
          <w:p w14:paraId="1E95CB0A" w14:textId="77777777" w:rsidR="006E57CC" w:rsidRDefault="006E57CC" w:rsidP="006E57CC">
            <w:pPr>
              <w:pStyle w:val="Default"/>
              <w:rPr>
                <w:rFonts w:asciiTheme="minorHAnsi" w:hAnsiTheme="minorHAnsi" w:cs="Arial"/>
                <w:b/>
                <w:color w:val="auto"/>
                <w:sz w:val="20"/>
                <w:szCs w:val="20"/>
              </w:rPr>
            </w:pPr>
            <w:r w:rsidRPr="00283ECE">
              <w:rPr>
                <w:rFonts w:asciiTheme="minorHAnsi" w:hAnsiTheme="minorHAnsi" w:cs="Arial"/>
                <w:b/>
                <w:color w:val="auto"/>
                <w:sz w:val="20"/>
                <w:szCs w:val="20"/>
              </w:rPr>
              <w:t>Pests &amp; Disease Management</w:t>
            </w:r>
          </w:p>
          <w:p w14:paraId="242564AA" w14:textId="4A3429E8" w:rsidR="006E57CC" w:rsidRPr="00116CDB" w:rsidRDefault="006E57CC" w:rsidP="006E57CC">
            <w:pPr>
              <w:pStyle w:val="Default"/>
              <w:rPr>
                <w:rFonts w:asciiTheme="minorHAnsi" w:hAnsiTheme="minorHAnsi" w:cs="Arial"/>
                <w:color w:val="auto"/>
                <w:sz w:val="20"/>
                <w:szCs w:val="20"/>
              </w:rPr>
            </w:pPr>
            <w:r>
              <w:rPr>
                <w:rFonts w:asciiTheme="minorHAnsi" w:hAnsiTheme="minorHAnsi" w:cs="Arial"/>
                <w:color w:val="auto"/>
                <w:sz w:val="20"/>
                <w:szCs w:val="20"/>
              </w:rPr>
              <w:t>National, regional &amp; industry actions to manage established pests &amp; diseases</w:t>
            </w:r>
          </w:p>
        </w:tc>
        <w:tc>
          <w:tcPr>
            <w:tcW w:w="567" w:type="dxa"/>
            <w:shd w:val="clear" w:color="auto" w:fill="FFF2CC" w:themeFill="accent4" w:themeFillTint="33"/>
            <w:vAlign w:val="center"/>
          </w:tcPr>
          <w:p w14:paraId="499389ED"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3C1F1D78"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10BA4C4E"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tcBorders>
              <w:top w:val="single" w:sz="4" w:space="0" w:color="auto"/>
            </w:tcBorders>
            <w:shd w:val="clear" w:color="auto" w:fill="FFF2CC" w:themeFill="accent4" w:themeFillTint="33"/>
            <w:vAlign w:val="center"/>
          </w:tcPr>
          <w:p w14:paraId="560DF94B" w14:textId="77777777" w:rsidR="006E57CC" w:rsidRPr="00014B3E" w:rsidRDefault="006E57CC" w:rsidP="006E57CC">
            <w:pPr>
              <w:pStyle w:val="Default"/>
              <w:jc w:val="center"/>
              <w:rPr>
                <w:rFonts w:asciiTheme="minorHAnsi" w:hAnsiTheme="minorHAnsi" w:cs="Arial"/>
                <w:b/>
                <w:bCs/>
                <w:color w:val="0070C0"/>
                <w:sz w:val="20"/>
                <w:szCs w:val="20"/>
              </w:rPr>
            </w:pPr>
          </w:p>
        </w:tc>
        <w:tc>
          <w:tcPr>
            <w:tcW w:w="567" w:type="dxa"/>
            <w:shd w:val="clear" w:color="auto" w:fill="FFF2CC" w:themeFill="accent4" w:themeFillTint="33"/>
            <w:vAlign w:val="center"/>
          </w:tcPr>
          <w:p w14:paraId="71218B7C" w14:textId="77777777" w:rsidR="006E57CC" w:rsidRPr="00014B3E" w:rsidRDefault="006E57CC" w:rsidP="006E57CC">
            <w:pPr>
              <w:pStyle w:val="Default"/>
              <w:jc w:val="center"/>
              <w:rPr>
                <w:rFonts w:asciiTheme="minorHAnsi" w:hAnsiTheme="minorHAnsi" w:cs="Arial"/>
                <w:b/>
                <w:bCs/>
                <w:color w:val="0070C0"/>
                <w:sz w:val="20"/>
                <w:szCs w:val="20"/>
              </w:rPr>
            </w:pPr>
          </w:p>
        </w:tc>
        <w:tc>
          <w:tcPr>
            <w:tcW w:w="13887" w:type="dxa"/>
            <w:gridSpan w:val="5"/>
            <w:shd w:val="clear" w:color="auto" w:fill="F3F3F3"/>
            <w:vAlign w:val="center"/>
          </w:tcPr>
          <w:p w14:paraId="2EF0FAB3" w14:textId="71A70FF6" w:rsidR="006E57CC" w:rsidRPr="00F26F26" w:rsidRDefault="00133E63" w:rsidP="00133E63">
            <w:pPr>
              <w:pStyle w:val="Default"/>
            </w:pPr>
            <w:r w:rsidRPr="00133E63">
              <w:rPr>
                <w:rFonts w:asciiTheme="minorHAnsi" w:hAnsiTheme="minorHAnsi" w:cs="Arial"/>
                <w:bCs/>
                <w:color w:val="auto"/>
                <w:sz w:val="20"/>
                <w:szCs w:val="20"/>
              </w:rPr>
              <w:t xml:space="preserve">Management of pests and diseases </w:t>
            </w:r>
            <w:r w:rsidR="00501936">
              <w:rPr>
                <w:rFonts w:asciiTheme="minorHAnsi" w:hAnsiTheme="minorHAnsi" w:cs="Arial"/>
                <w:bCs/>
                <w:color w:val="auto"/>
                <w:sz w:val="20"/>
                <w:szCs w:val="20"/>
              </w:rPr>
              <w:t xml:space="preserve">that are </w:t>
            </w:r>
            <w:r w:rsidRPr="00133E63">
              <w:rPr>
                <w:rFonts w:asciiTheme="minorHAnsi" w:hAnsiTheme="minorHAnsi" w:cs="Arial"/>
                <w:bCs/>
                <w:color w:val="auto"/>
                <w:sz w:val="20"/>
                <w:szCs w:val="20"/>
              </w:rPr>
              <w:t xml:space="preserve">accepted as established, happens outside of the GIA Partnership framework. However, any parties can </w:t>
            </w:r>
            <w:r>
              <w:rPr>
                <w:rFonts w:asciiTheme="minorHAnsi" w:hAnsiTheme="minorHAnsi" w:cs="Arial"/>
                <w:bCs/>
                <w:color w:val="auto"/>
                <w:sz w:val="20"/>
                <w:szCs w:val="20"/>
              </w:rPr>
              <w:t xml:space="preserve">decide to </w:t>
            </w:r>
            <w:r w:rsidRPr="00133E63">
              <w:rPr>
                <w:rFonts w:asciiTheme="minorHAnsi" w:hAnsiTheme="minorHAnsi" w:cs="Arial"/>
                <w:bCs/>
                <w:color w:val="auto"/>
                <w:sz w:val="20"/>
                <w:szCs w:val="20"/>
              </w:rPr>
              <w:t xml:space="preserve">collaborate or partner where they agree management is a joint priority and that decisions and investment </w:t>
            </w:r>
            <w:r>
              <w:rPr>
                <w:rFonts w:asciiTheme="minorHAnsi" w:hAnsiTheme="minorHAnsi" w:cs="Arial"/>
                <w:bCs/>
                <w:color w:val="auto"/>
                <w:sz w:val="20"/>
                <w:szCs w:val="20"/>
              </w:rPr>
              <w:t xml:space="preserve">of </w:t>
            </w:r>
            <w:r w:rsidRPr="00133E63">
              <w:rPr>
                <w:rFonts w:asciiTheme="minorHAnsi" w:hAnsiTheme="minorHAnsi" w:cs="Arial"/>
                <w:bCs/>
                <w:color w:val="auto"/>
                <w:sz w:val="20"/>
                <w:szCs w:val="20"/>
              </w:rPr>
              <w:t>resource</w:t>
            </w:r>
            <w:r>
              <w:rPr>
                <w:rFonts w:asciiTheme="minorHAnsi" w:hAnsiTheme="minorHAnsi" w:cs="Arial"/>
                <w:bCs/>
                <w:color w:val="auto"/>
                <w:sz w:val="20"/>
                <w:szCs w:val="20"/>
              </w:rPr>
              <w:t>s</w:t>
            </w:r>
            <w:r w:rsidRPr="00133E63">
              <w:rPr>
                <w:rFonts w:asciiTheme="minorHAnsi" w:hAnsiTheme="minorHAnsi" w:cs="Arial"/>
                <w:bCs/>
                <w:color w:val="auto"/>
                <w:sz w:val="20"/>
                <w:szCs w:val="20"/>
              </w:rPr>
              <w:t xml:space="preserve"> will be shared.</w:t>
            </w:r>
          </w:p>
        </w:tc>
      </w:tr>
    </w:tbl>
    <w:p w14:paraId="21326BAD" w14:textId="77777777" w:rsidR="00591F8C" w:rsidRPr="001A0CB4" w:rsidRDefault="00591F8C" w:rsidP="00C37C36"/>
    <w:sectPr w:rsidR="00591F8C" w:rsidRPr="001A0CB4" w:rsidSect="00C37C36">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1440" w:right="1134" w:bottom="851" w:left="1276" w:header="708" w:footer="2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B8BE8" w14:textId="77777777" w:rsidR="00B551F6" w:rsidRDefault="00B551F6" w:rsidP="00EE2097">
      <w:pPr>
        <w:spacing w:after="0" w:line="240" w:lineRule="auto"/>
      </w:pPr>
      <w:r>
        <w:separator/>
      </w:r>
    </w:p>
  </w:endnote>
  <w:endnote w:type="continuationSeparator" w:id="0">
    <w:p w14:paraId="44770A65" w14:textId="77777777" w:rsidR="00B551F6" w:rsidRDefault="00B551F6" w:rsidP="00EE2097">
      <w:pPr>
        <w:spacing w:after="0" w:line="240" w:lineRule="auto"/>
      </w:pPr>
      <w:r>
        <w:continuationSeparator/>
      </w:r>
    </w:p>
  </w:endnote>
  <w:endnote w:type="continuationNotice" w:id="1">
    <w:p w14:paraId="32C3B927" w14:textId="77777777" w:rsidR="00B551F6" w:rsidRDefault="00B55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5D0F" w14:textId="77777777" w:rsidR="008A6F54" w:rsidRDefault="008A6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1449855495"/>
      <w:docPartObj>
        <w:docPartGallery w:val="Page Numbers (Bottom of Page)"/>
        <w:docPartUnique/>
      </w:docPartObj>
    </w:sdtPr>
    <w:sdtEndPr/>
    <w:sdtContent>
      <w:sdt>
        <w:sdtPr>
          <w:rPr>
            <w:b/>
            <w:sz w:val="20"/>
            <w:szCs w:val="20"/>
          </w:rPr>
          <w:id w:val="-975370709"/>
          <w:docPartObj>
            <w:docPartGallery w:val="Page Numbers (Top of Page)"/>
            <w:docPartUnique/>
          </w:docPartObj>
        </w:sdtPr>
        <w:sdtEndPr/>
        <w:sdtContent>
          <w:p w14:paraId="4782146B" w14:textId="0DFCB370" w:rsidR="001C2A56" w:rsidRPr="00254E71" w:rsidRDefault="001C2A56" w:rsidP="00424170">
            <w:pPr>
              <w:pStyle w:val="Footer"/>
              <w:tabs>
                <w:tab w:val="clear" w:pos="4513"/>
                <w:tab w:val="clear" w:pos="9026"/>
              </w:tabs>
              <w:rPr>
                <w:b/>
                <w:sz w:val="20"/>
                <w:szCs w:val="20"/>
              </w:rPr>
            </w:pPr>
            <w:r>
              <w:rPr>
                <w:i/>
                <w:sz w:val="20"/>
                <w:szCs w:val="20"/>
              </w:rPr>
              <w:t>Engagement Across the Biosecurity System under GIA</w:t>
            </w:r>
            <w:r>
              <w:rPr>
                <w:i/>
                <w:sz w:val="20"/>
                <w:szCs w:val="20"/>
              </w:rPr>
              <w:tab/>
            </w:r>
            <w:r>
              <w:rPr>
                <w:i/>
                <w:sz w:val="20"/>
                <w:szCs w:val="20"/>
              </w:rPr>
              <w:tab/>
            </w:r>
            <w:r>
              <w:tab/>
            </w:r>
            <w:r>
              <w:rPr>
                <w:sz w:val="20"/>
                <w:szCs w:val="20"/>
              </w:rPr>
              <w:t>p</w:t>
            </w:r>
            <w:r w:rsidRPr="00254E71">
              <w:rPr>
                <w:b/>
                <w:bCs/>
                <w:sz w:val="20"/>
                <w:szCs w:val="20"/>
              </w:rPr>
              <w:fldChar w:fldCharType="begin"/>
            </w:r>
            <w:r w:rsidRPr="00254E71">
              <w:rPr>
                <w:bCs/>
                <w:sz w:val="20"/>
                <w:szCs w:val="20"/>
              </w:rPr>
              <w:instrText xml:space="preserve"> PAGE </w:instrText>
            </w:r>
            <w:r w:rsidRPr="00254E71">
              <w:rPr>
                <w:b/>
                <w:bCs/>
                <w:sz w:val="20"/>
                <w:szCs w:val="20"/>
              </w:rPr>
              <w:fldChar w:fldCharType="separate"/>
            </w:r>
            <w:r w:rsidR="00B7369E">
              <w:rPr>
                <w:bCs/>
                <w:noProof/>
                <w:sz w:val="20"/>
                <w:szCs w:val="20"/>
              </w:rPr>
              <w:t>1</w:t>
            </w:r>
            <w:r w:rsidRPr="00254E71">
              <w:rPr>
                <w:b/>
                <w:bCs/>
                <w:sz w:val="20"/>
                <w:szCs w:val="20"/>
              </w:rPr>
              <w:fldChar w:fldCharType="end"/>
            </w:r>
            <w:r w:rsidRPr="00254E71">
              <w:rPr>
                <w:sz w:val="20"/>
                <w:szCs w:val="20"/>
              </w:rPr>
              <w:t xml:space="preserve"> of </w:t>
            </w:r>
            <w:r w:rsidRPr="00254E71">
              <w:rPr>
                <w:b/>
                <w:bCs/>
                <w:sz w:val="20"/>
                <w:szCs w:val="20"/>
              </w:rPr>
              <w:fldChar w:fldCharType="begin"/>
            </w:r>
            <w:r w:rsidRPr="00254E71">
              <w:rPr>
                <w:bCs/>
                <w:sz w:val="20"/>
                <w:szCs w:val="20"/>
              </w:rPr>
              <w:instrText xml:space="preserve"> NUMPAGES  </w:instrText>
            </w:r>
            <w:r w:rsidRPr="00254E71">
              <w:rPr>
                <w:b/>
                <w:bCs/>
                <w:sz w:val="20"/>
                <w:szCs w:val="20"/>
              </w:rPr>
              <w:fldChar w:fldCharType="separate"/>
            </w:r>
            <w:r w:rsidR="00B7369E">
              <w:rPr>
                <w:bCs/>
                <w:noProof/>
                <w:sz w:val="20"/>
                <w:szCs w:val="20"/>
              </w:rPr>
              <w:t>1</w:t>
            </w:r>
            <w:r w:rsidRPr="00254E71">
              <w:rPr>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D8B44" w14:textId="77777777" w:rsidR="008A6F54" w:rsidRDefault="008A6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E40D6" w14:textId="77777777" w:rsidR="00B551F6" w:rsidRDefault="00B551F6" w:rsidP="00EE2097">
      <w:pPr>
        <w:spacing w:after="0" w:line="240" w:lineRule="auto"/>
      </w:pPr>
      <w:r>
        <w:separator/>
      </w:r>
    </w:p>
  </w:footnote>
  <w:footnote w:type="continuationSeparator" w:id="0">
    <w:p w14:paraId="2D8EDDA2" w14:textId="77777777" w:rsidR="00B551F6" w:rsidRDefault="00B551F6" w:rsidP="00EE2097">
      <w:pPr>
        <w:spacing w:after="0" w:line="240" w:lineRule="auto"/>
      </w:pPr>
      <w:r>
        <w:continuationSeparator/>
      </w:r>
    </w:p>
  </w:footnote>
  <w:footnote w:type="continuationNotice" w:id="1">
    <w:p w14:paraId="197F5695" w14:textId="77777777" w:rsidR="00B551F6" w:rsidRDefault="00B551F6">
      <w:pPr>
        <w:spacing w:after="0" w:line="240" w:lineRule="auto"/>
      </w:pPr>
    </w:p>
  </w:footnote>
  <w:footnote w:id="2">
    <w:p w14:paraId="51848312" w14:textId="1A88DC12" w:rsidR="001C2A56" w:rsidRDefault="001C2A56">
      <w:pPr>
        <w:pStyle w:val="FootnoteText"/>
      </w:pPr>
      <w:r>
        <w:rPr>
          <w:rStyle w:val="FootnoteReference"/>
        </w:rPr>
        <w:footnoteRef/>
      </w:r>
      <w:r>
        <w:t xml:space="preserve"> MPI needs to be mindful of its statutory, regulatory, trade </w:t>
      </w:r>
      <w:proofErr w:type="spellStart"/>
      <w:r>
        <w:t>etc</w:t>
      </w:r>
      <w:proofErr w:type="spellEnd"/>
      <w:r>
        <w:t xml:space="preserve"> responsibilities in fulfilling this intent</w:t>
      </w:r>
    </w:p>
  </w:footnote>
  <w:footnote w:id="3">
    <w:p w14:paraId="48A6F01A" w14:textId="412FE59D" w:rsidR="001C2A56" w:rsidRDefault="001C2A56">
      <w:pPr>
        <w:pStyle w:val="FootnoteText"/>
      </w:pPr>
      <w:r>
        <w:rPr>
          <w:rStyle w:val="FootnoteReference"/>
        </w:rPr>
        <w:footnoteRef/>
      </w:r>
      <w:r>
        <w:t xml:space="preserve"> Under GIA, surveillance programmes are considered a Readiness activity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CAA8" w14:textId="77777777" w:rsidR="008A6F54" w:rsidRDefault="008A6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9E0C8" w14:textId="6A15A5E1" w:rsidR="001C2A56" w:rsidRPr="00BD7340" w:rsidRDefault="00C37C36" w:rsidP="00BD7340">
    <w:pPr>
      <w:pStyle w:val="Header"/>
      <w:ind w:left="1440"/>
      <w:jc w:val="right"/>
      <w:rPr>
        <w:b/>
        <w:i/>
        <w:sz w:val="22"/>
      </w:rPr>
    </w:pPr>
    <w:r>
      <w:rPr>
        <w:b/>
        <w:sz w:val="22"/>
      </w:rPr>
      <w:t xml:space="preserve">GIA Engagement Policy - </w:t>
    </w:r>
    <w:r w:rsidR="001C2A56">
      <w:rPr>
        <w:b/>
        <w:sz w:val="22"/>
      </w:rPr>
      <w:t xml:space="preserve">Appendix </w:t>
    </w:r>
    <w:r>
      <w:rPr>
        <w:b/>
        <w:sz w:val="22"/>
      </w:rPr>
      <w:t>Five</w:t>
    </w:r>
    <w:r w:rsidR="008A6F54">
      <w:rPr>
        <w:b/>
        <w:sz w:val="22"/>
      </w:rPr>
      <w:t xml:space="preserve"> – Table One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F3446" w14:textId="77777777" w:rsidR="008A6F54" w:rsidRDefault="008A6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6861"/>
    <w:multiLevelType w:val="hybridMultilevel"/>
    <w:tmpl w:val="35D808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4F2F7E"/>
    <w:multiLevelType w:val="hybridMultilevel"/>
    <w:tmpl w:val="63622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615DF2"/>
    <w:multiLevelType w:val="hybridMultilevel"/>
    <w:tmpl w:val="9AE4A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113D19"/>
    <w:multiLevelType w:val="hybridMultilevel"/>
    <w:tmpl w:val="667C4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0F3F85"/>
    <w:multiLevelType w:val="hybridMultilevel"/>
    <w:tmpl w:val="443AD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06654E"/>
    <w:multiLevelType w:val="hybridMultilevel"/>
    <w:tmpl w:val="33EEB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333906"/>
    <w:multiLevelType w:val="hybridMultilevel"/>
    <w:tmpl w:val="9EC46A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EBA023B"/>
    <w:multiLevelType w:val="hybridMultilevel"/>
    <w:tmpl w:val="A5589E7E"/>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8" w15:restartNumberingAfterBreak="0">
    <w:nsid w:val="23CA270D"/>
    <w:multiLevelType w:val="hybridMultilevel"/>
    <w:tmpl w:val="A05A0E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3D56B0F"/>
    <w:multiLevelType w:val="hybridMultilevel"/>
    <w:tmpl w:val="4B5A1D4C"/>
    <w:lvl w:ilvl="0" w:tplc="69FEB850">
      <w:start w:val="1"/>
      <w:numFmt w:val="decimal"/>
      <w:lvlText w:val="%1."/>
      <w:lvlJc w:val="left"/>
      <w:pPr>
        <w:ind w:left="720" w:hanging="360"/>
      </w:pPr>
      <w:rPr>
        <w:rFonts w:hint="default"/>
      </w:rPr>
    </w:lvl>
    <w:lvl w:ilvl="1" w:tplc="19786EDA">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412044B"/>
    <w:multiLevelType w:val="hybridMultilevel"/>
    <w:tmpl w:val="71B6C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206B53"/>
    <w:multiLevelType w:val="hybridMultilevel"/>
    <w:tmpl w:val="54C43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FC2BFA"/>
    <w:multiLevelType w:val="hybridMultilevel"/>
    <w:tmpl w:val="2D3EEF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33C3F34"/>
    <w:multiLevelType w:val="hybridMultilevel"/>
    <w:tmpl w:val="BB925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B37BAD"/>
    <w:multiLevelType w:val="hybridMultilevel"/>
    <w:tmpl w:val="A2C6144A"/>
    <w:lvl w:ilvl="0" w:tplc="51D82FD6">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262CC5"/>
    <w:multiLevelType w:val="hybridMultilevel"/>
    <w:tmpl w:val="02E0A8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734611A"/>
    <w:multiLevelType w:val="hybridMultilevel"/>
    <w:tmpl w:val="91B0A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EB7DEB"/>
    <w:multiLevelType w:val="hybridMultilevel"/>
    <w:tmpl w:val="E83619A2"/>
    <w:lvl w:ilvl="0" w:tplc="D7D20E70">
      <w:start w:val="1"/>
      <w:numFmt w:val="decimal"/>
      <w:lvlText w:val="%1."/>
      <w:lvlJc w:val="left"/>
      <w:pPr>
        <w:ind w:left="720" w:hanging="720"/>
      </w:pPr>
      <w:rPr>
        <w:rFonts w:hint="default"/>
      </w:rPr>
    </w:lvl>
    <w:lvl w:ilvl="1" w:tplc="14F201A6">
      <w:start w:val="1"/>
      <w:numFmt w:val="bullet"/>
      <w:pStyle w:val="Bullets"/>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C564F57"/>
    <w:multiLevelType w:val="hybridMultilevel"/>
    <w:tmpl w:val="099CE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BC4FE2"/>
    <w:multiLevelType w:val="hybridMultilevel"/>
    <w:tmpl w:val="FF32D8B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524205F5"/>
    <w:multiLevelType w:val="hybridMultilevel"/>
    <w:tmpl w:val="8424C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5D174FC"/>
    <w:multiLevelType w:val="hybridMultilevel"/>
    <w:tmpl w:val="6F326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CD05BD1"/>
    <w:multiLevelType w:val="hybridMultilevel"/>
    <w:tmpl w:val="6A6ADC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0816DE3"/>
    <w:multiLevelType w:val="hybridMultilevel"/>
    <w:tmpl w:val="FEE2E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0CB0D6C"/>
    <w:multiLevelType w:val="hybridMultilevel"/>
    <w:tmpl w:val="04EE84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19A1D8B"/>
    <w:multiLevelType w:val="hybridMultilevel"/>
    <w:tmpl w:val="6A107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C27970"/>
    <w:multiLevelType w:val="singleLevel"/>
    <w:tmpl w:val="F5C2C234"/>
    <w:lvl w:ilvl="0">
      <w:start w:val="1"/>
      <w:numFmt w:val="lowerLetter"/>
      <w:lvlText w:val="%1)"/>
      <w:lvlJc w:val="left"/>
      <w:pPr>
        <w:ind w:left="720" w:hanging="360"/>
      </w:pPr>
      <w:rPr>
        <w:color w:val="auto"/>
      </w:rPr>
    </w:lvl>
  </w:abstractNum>
  <w:abstractNum w:abstractNumId="27" w15:restartNumberingAfterBreak="0">
    <w:nsid w:val="64487717"/>
    <w:multiLevelType w:val="hybridMultilevel"/>
    <w:tmpl w:val="FB963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8B13FA"/>
    <w:multiLevelType w:val="hybridMultilevel"/>
    <w:tmpl w:val="101A2F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AA04216"/>
    <w:multiLevelType w:val="hybridMultilevel"/>
    <w:tmpl w:val="4B5A1D4C"/>
    <w:lvl w:ilvl="0" w:tplc="69FEB850">
      <w:start w:val="1"/>
      <w:numFmt w:val="decimal"/>
      <w:lvlText w:val="%1."/>
      <w:lvlJc w:val="left"/>
      <w:pPr>
        <w:ind w:left="720" w:hanging="360"/>
      </w:pPr>
      <w:rPr>
        <w:rFonts w:hint="default"/>
      </w:rPr>
    </w:lvl>
    <w:lvl w:ilvl="1" w:tplc="19786EDA">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3E037D5"/>
    <w:multiLevelType w:val="hybridMultilevel"/>
    <w:tmpl w:val="2D3EEF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93A72ED"/>
    <w:multiLevelType w:val="hybridMultilevel"/>
    <w:tmpl w:val="89341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FBB76C3"/>
    <w:multiLevelType w:val="hybridMultilevel"/>
    <w:tmpl w:val="D1E0F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0"/>
  </w:num>
  <w:num w:numId="4">
    <w:abstractNumId w:val="27"/>
  </w:num>
  <w:num w:numId="5">
    <w:abstractNumId w:val="24"/>
  </w:num>
  <w:num w:numId="6">
    <w:abstractNumId w:val="1"/>
  </w:num>
  <w:num w:numId="7">
    <w:abstractNumId w:val="18"/>
  </w:num>
  <w:num w:numId="8">
    <w:abstractNumId w:val="23"/>
  </w:num>
  <w:num w:numId="9">
    <w:abstractNumId w:val="29"/>
  </w:num>
  <w:num w:numId="10">
    <w:abstractNumId w:val="9"/>
  </w:num>
  <w:num w:numId="11">
    <w:abstractNumId w:val="14"/>
  </w:num>
  <w:num w:numId="12">
    <w:abstractNumId w:val="17"/>
  </w:num>
  <w:num w:numId="13">
    <w:abstractNumId w:val="31"/>
  </w:num>
  <w:num w:numId="14">
    <w:abstractNumId w:val="30"/>
  </w:num>
  <w:num w:numId="15">
    <w:abstractNumId w:val="22"/>
  </w:num>
  <w:num w:numId="16">
    <w:abstractNumId w:val="3"/>
  </w:num>
  <w:num w:numId="17">
    <w:abstractNumId w:val="8"/>
  </w:num>
  <w:num w:numId="18">
    <w:abstractNumId w:val="20"/>
  </w:num>
  <w:num w:numId="19">
    <w:abstractNumId w:val="16"/>
  </w:num>
  <w:num w:numId="20">
    <w:abstractNumId w:val="28"/>
  </w:num>
  <w:num w:numId="21">
    <w:abstractNumId w:val="15"/>
  </w:num>
  <w:num w:numId="22">
    <w:abstractNumId w:val="25"/>
  </w:num>
  <w:num w:numId="23">
    <w:abstractNumId w:val="4"/>
  </w:num>
  <w:num w:numId="24">
    <w:abstractNumId w:val="5"/>
  </w:num>
  <w:num w:numId="25">
    <w:abstractNumId w:val="6"/>
  </w:num>
  <w:num w:numId="26">
    <w:abstractNumId w:val="0"/>
  </w:num>
  <w:num w:numId="27">
    <w:abstractNumId w:val="11"/>
  </w:num>
  <w:num w:numId="28">
    <w:abstractNumId w:val="13"/>
  </w:num>
  <w:num w:numId="29">
    <w:abstractNumId w:val="32"/>
  </w:num>
  <w:num w:numId="30">
    <w:abstractNumId w:val="21"/>
  </w:num>
  <w:num w:numId="31">
    <w:abstractNumId w:val="12"/>
  </w:num>
  <w:num w:numId="32">
    <w:abstractNumId w:val="7"/>
  </w:num>
  <w:num w:numId="33">
    <w:abstractNumId w:val="26"/>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97"/>
    <w:rsid w:val="000013F0"/>
    <w:rsid w:val="00001618"/>
    <w:rsid w:val="00001B2C"/>
    <w:rsid w:val="00001BB3"/>
    <w:rsid w:val="000055D8"/>
    <w:rsid w:val="0001254E"/>
    <w:rsid w:val="000203BA"/>
    <w:rsid w:val="00021B5A"/>
    <w:rsid w:val="000250C0"/>
    <w:rsid w:val="000266C5"/>
    <w:rsid w:val="00027549"/>
    <w:rsid w:val="00031230"/>
    <w:rsid w:val="00042155"/>
    <w:rsid w:val="00043D89"/>
    <w:rsid w:val="00045091"/>
    <w:rsid w:val="00045E93"/>
    <w:rsid w:val="0004720B"/>
    <w:rsid w:val="00052388"/>
    <w:rsid w:val="00056201"/>
    <w:rsid w:val="00064897"/>
    <w:rsid w:val="00065DD0"/>
    <w:rsid w:val="00070462"/>
    <w:rsid w:val="000741C6"/>
    <w:rsid w:val="000745D4"/>
    <w:rsid w:val="00080A7A"/>
    <w:rsid w:val="00087015"/>
    <w:rsid w:val="00095548"/>
    <w:rsid w:val="000974BC"/>
    <w:rsid w:val="000A6FFD"/>
    <w:rsid w:val="000B57C7"/>
    <w:rsid w:val="000C2D87"/>
    <w:rsid w:val="000C5329"/>
    <w:rsid w:val="000D12EA"/>
    <w:rsid w:val="000D1DCD"/>
    <w:rsid w:val="000D265D"/>
    <w:rsid w:val="000D355A"/>
    <w:rsid w:val="000D7562"/>
    <w:rsid w:val="000E3B67"/>
    <w:rsid w:val="000E43A6"/>
    <w:rsid w:val="000E5F7A"/>
    <w:rsid w:val="000E60C5"/>
    <w:rsid w:val="000F1F18"/>
    <w:rsid w:val="000F3FD0"/>
    <w:rsid w:val="000F4DC9"/>
    <w:rsid w:val="000F5205"/>
    <w:rsid w:val="00103CF4"/>
    <w:rsid w:val="00104418"/>
    <w:rsid w:val="00110F25"/>
    <w:rsid w:val="00113CE8"/>
    <w:rsid w:val="00115A13"/>
    <w:rsid w:val="00116CDB"/>
    <w:rsid w:val="00124DE3"/>
    <w:rsid w:val="00126230"/>
    <w:rsid w:val="00133E63"/>
    <w:rsid w:val="001405B9"/>
    <w:rsid w:val="00147C91"/>
    <w:rsid w:val="00153B60"/>
    <w:rsid w:val="0015407C"/>
    <w:rsid w:val="001567A9"/>
    <w:rsid w:val="001631A1"/>
    <w:rsid w:val="00171152"/>
    <w:rsid w:val="001776C4"/>
    <w:rsid w:val="001779DA"/>
    <w:rsid w:val="001800B7"/>
    <w:rsid w:val="00185C2C"/>
    <w:rsid w:val="00186C39"/>
    <w:rsid w:val="00187545"/>
    <w:rsid w:val="0019195E"/>
    <w:rsid w:val="001A0CB4"/>
    <w:rsid w:val="001A33BE"/>
    <w:rsid w:val="001B3EC4"/>
    <w:rsid w:val="001B583A"/>
    <w:rsid w:val="001B5B0C"/>
    <w:rsid w:val="001C2A56"/>
    <w:rsid w:val="001C2B1E"/>
    <w:rsid w:val="001C4A5C"/>
    <w:rsid w:val="001C4A6B"/>
    <w:rsid w:val="001C7B0E"/>
    <w:rsid w:val="001E1FEE"/>
    <w:rsid w:val="001E29DD"/>
    <w:rsid w:val="001E3364"/>
    <w:rsid w:val="001E7413"/>
    <w:rsid w:val="001F29B3"/>
    <w:rsid w:val="001F3EA5"/>
    <w:rsid w:val="001F609D"/>
    <w:rsid w:val="00200172"/>
    <w:rsid w:val="002004EE"/>
    <w:rsid w:val="002017E1"/>
    <w:rsid w:val="002023F7"/>
    <w:rsid w:val="0020692D"/>
    <w:rsid w:val="00212CA5"/>
    <w:rsid w:val="00215A9B"/>
    <w:rsid w:val="00216DC2"/>
    <w:rsid w:val="00216F6F"/>
    <w:rsid w:val="0022157C"/>
    <w:rsid w:val="002234C8"/>
    <w:rsid w:val="00223643"/>
    <w:rsid w:val="00226877"/>
    <w:rsid w:val="00226D5E"/>
    <w:rsid w:val="002305F7"/>
    <w:rsid w:val="002311BE"/>
    <w:rsid w:val="00232068"/>
    <w:rsid w:val="002332F4"/>
    <w:rsid w:val="0023353E"/>
    <w:rsid w:val="00235128"/>
    <w:rsid w:val="00241BA1"/>
    <w:rsid w:val="00250BE9"/>
    <w:rsid w:val="00251229"/>
    <w:rsid w:val="00251357"/>
    <w:rsid w:val="00252AA7"/>
    <w:rsid w:val="00256B05"/>
    <w:rsid w:val="00264F45"/>
    <w:rsid w:val="002657ED"/>
    <w:rsid w:val="00270F8F"/>
    <w:rsid w:val="00273299"/>
    <w:rsid w:val="002831BC"/>
    <w:rsid w:val="0028346D"/>
    <w:rsid w:val="00283BDC"/>
    <w:rsid w:val="00283ECE"/>
    <w:rsid w:val="00287846"/>
    <w:rsid w:val="00290089"/>
    <w:rsid w:val="0029105B"/>
    <w:rsid w:val="002920C9"/>
    <w:rsid w:val="0029241F"/>
    <w:rsid w:val="00294EFD"/>
    <w:rsid w:val="002951AF"/>
    <w:rsid w:val="002A613A"/>
    <w:rsid w:val="002B68A9"/>
    <w:rsid w:val="002B76F8"/>
    <w:rsid w:val="002C7BF3"/>
    <w:rsid w:val="002E7EF7"/>
    <w:rsid w:val="002F171C"/>
    <w:rsid w:val="002F6F92"/>
    <w:rsid w:val="00301172"/>
    <w:rsid w:val="0030359A"/>
    <w:rsid w:val="00305D69"/>
    <w:rsid w:val="00306278"/>
    <w:rsid w:val="00311F96"/>
    <w:rsid w:val="00316420"/>
    <w:rsid w:val="00317880"/>
    <w:rsid w:val="003215AF"/>
    <w:rsid w:val="003229A7"/>
    <w:rsid w:val="0033227C"/>
    <w:rsid w:val="00332C53"/>
    <w:rsid w:val="003405F5"/>
    <w:rsid w:val="00342BBB"/>
    <w:rsid w:val="003447B6"/>
    <w:rsid w:val="0034481C"/>
    <w:rsid w:val="00364D07"/>
    <w:rsid w:val="0037139E"/>
    <w:rsid w:val="00382D44"/>
    <w:rsid w:val="00383574"/>
    <w:rsid w:val="00386265"/>
    <w:rsid w:val="003944D3"/>
    <w:rsid w:val="00394A20"/>
    <w:rsid w:val="003955D0"/>
    <w:rsid w:val="00397340"/>
    <w:rsid w:val="003A067B"/>
    <w:rsid w:val="003A3B98"/>
    <w:rsid w:val="003A42E1"/>
    <w:rsid w:val="003A4AB6"/>
    <w:rsid w:val="003A77E4"/>
    <w:rsid w:val="003B0887"/>
    <w:rsid w:val="003B2361"/>
    <w:rsid w:val="003B2D91"/>
    <w:rsid w:val="003B6932"/>
    <w:rsid w:val="003C22DE"/>
    <w:rsid w:val="003C79EC"/>
    <w:rsid w:val="003D3029"/>
    <w:rsid w:val="003D5BBA"/>
    <w:rsid w:val="003D5D19"/>
    <w:rsid w:val="003D6901"/>
    <w:rsid w:val="003E1DC2"/>
    <w:rsid w:val="003E30EF"/>
    <w:rsid w:val="003E77F3"/>
    <w:rsid w:val="003F32D1"/>
    <w:rsid w:val="003F420D"/>
    <w:rsid w:val="003F5DA4"/>
    <w:rsid w:val="00402F4B"/>
    <w:rsid w:val="004035C5"/>
    <w:rsid w:val="00406030"/>
    <w:rsid w:val="004061B6"/>
    <w:rsid w:val="00407ACC"/>
    <w:rsid w:val="00407D77"/>
    <w:rsid w:val="004118D0"/>
    <w:rsid w:val="00420FCC"/>
    <w:rsid w:val="0042221B"/>
    <w:rsid w:val="0042305F"/>
    <w:rsid w:val="00423B19"/>
    <w:rsid w:val="00424170"/>
    <w:rsid w:val="004251FE"/>
    <w:rsid w:val="00426F67"/>
    <w:rsid w:val="00437C55"/>
    <w:rsid w:val="00450120"/>
    <w:rsid w:val="0045042C"/>
    <w:rsid w:val="00450789"/>
    <w:rsid w:val="004579C1"/>
    <w:rsid w:val="00461B6F"/>
    <w:rsid w:val="0046423A"/>
    <w:rsid w:val="004664B1"/>
    <w:rsid w:val="00470740"/>
    <w:rsid w:val="00471AC1"/>
    <w:rsid w:val="00474049"/>
    <w:rsid w:val="004855E2"/>
    <w:rsid w:val="00491927"/>
    <w:rsid w:val="004A0D2E"/>
    <w:rsid w:val="004A556D"/>
    <w:rsid w:val="004A6105"/>
    <w:rsid w:val="004A66E5"/>
    <w:rsid w:val="004C0C16"/>
    <w:rsid w:val="004C2117"/>
    <w:rsid w:val="004C3125"/>
    <w:rsid w:val="004D0A92"/>
    <w:rsid w:val="004E0DA2"/>
    <w:rsid w:val="004E2EB7"/>
    <w:rsid w:val="004F4C07"/>
    <w:rsid w:val="004F621D"/>
    <w:rsid w:val="00501936"/>
    <w:rsid w:val="00504594"/>
    <w:rsid w:val="005061F4"/>
    <w:rsid w:val="00511209"/>
    <w:rsid w:val="005127E5"/>
    <w:rsid w:val="00513F56"/>
    <w:rsid w:val="0051448E"/>
    <w:rsid w:val="00514B08"/>
    <w:rsid w:val="005212BF"/>
    <w:rsid w:val="00522A59"/>
    <w:rsid w:val="005242DE"/>
    <w:rsid w:val="00532596"/>
    <w:rsid w:val="005353E7"/>
    <w:rsid w:val="0056353B"/>
    <w:rsid w:val="00566964"/>
    <w:rsid w:val="00567C9A"/>
    <w:rsid w:val="00572A85"/>
    <w:rsid w:val="00576A2F"/>
    <w:rsid w:val="0057761D"/>
    <w:rsid w:val="00577840"/>
    <w:rsid w:val="00581BA8"/>
    <w:rsid w:val="00584928"/>
    <w:rsid w:val="00586D02"/>
    <w:rsid w:val="005870AA"/>
    <w:rsid w:val="005876B5"/>
    <w:rsid w:val="00587933"/>
    <w:rsid w:val="005916ED"/>
    <w:rsid w:val="00591A82"/>
    <w:rsid w:val="00591F8C"/>
    <w:rsid w:val="005926BD"/>
    <w:rsid w:val="005948FC"/>
    <w:rsid w:val="0059537A"/>
    <w:rsid w:val="005A4986"/>
    <w:rsid w:val="005A7C2D"/>
    <w:rsid w:val="005B42D8"/>
    <w:rsid w:val="005B4DFA"/>
    <w:rsid w:val="005C155A"/>
    <w:rsid w:val="005C510B"/>
    <w:rsid w:val="005C64E5"/>
    <w:rsid w:val="005C688C"/>
    <w:rsid w:val="005D5EC5"/>
    <w:rsid w:val="005F0975"/>
    <w:rsid w:val="005F4EB6"/>
    <w:rsid w:val="00601087"/>
    <w:rsid w:val="00601214"/>
    <w:rsid w:val="006014D7"/>
    <w:rsid w:val="0060207D"/>
    <w:rsid w:val="0060322C"/>
    <w:rsid w:val="00604577"/>
    <w:rsid w:val="00604663"/>
    <w:rsid w:val="00607097"/>
    <w:rsid w:val="006075EE"/>
    <w:rsid w:val="0061137F"/>
    <w:rsid w:val="00614BFC"/>
    <w:rsid w:val="00615B55"/>
    <w:rsid w:val="00615C5B"/>
    <w:rsid w:val="00620DF7"/>
    <w:rsid w:val="00621C06"/>
    <w:rsid w:val="00625AFE"/>
    <w:rsid w:val="006267DA"/>
    <w:rsid w:val="00626F86"/>
    <w:rsid w:val="0063376E"/>
    <w:rsid w:val="00634F88"/>
    <w:rsid w:val="006471BC"/>
    <w:rsid w:val="00647A54"/>
    <w:rsid w:val="00647C81"/>
    <w:rsid w:val="00650A79"/>
    <w:rsid w:val="00652B38"/>
    <w:rsid w:val="00652D42"/>
    <w:rsid w:val="0065673D"/>
    <w:rsid w:val="006636A3"/>
    <w:rsid w:val="0066764F"/>
    <w:rsid w:val="006806A6"/>
    <w:rsid w:val="00683977"/>
    <w:rsid w:val="00684B7F"/>
    <w:rsid w:val="00686B54"/>
    <w:rsid w:val="00692ED1"/>
    <w:rsid w:val="00693CDC"/>
    <w:rsid w:val="00694DC4"/>
    <w:rsid w:val="00694E2A"/>
    <w:rsid w:val="00695366"/>
    <w:rsid w:val="00697446"/>
    <w:rsid w:val="006A4762"/>
    <w:rsid w:val="006B1964"/>
    <w:rsid w:val="006D557F"/>
    <w:rsid w:val="006E0E34"/>
    <w:rsid w:val="006E57CC"/>
    <w:rsid w:val="006F3DD0"/>
    <w:rsid w:val="006F619B"/>
    <w:rsid w:val="0070350E"/>
    <w:rsid w:val="00703785"/>
    <w:rsid w:val="00704368"/>
    <w:rsid w:val="0071005A"/>
    <w:rsid w:val="00712616"/>
    <w:rsid w:val="00716DA2"/>
    <w:rsid w:val="00720FB9"/>
    <w:rsid w:val="007226F3"/>
    <w:rsid w:val="0072467A"/>
    <w:rsid w:val="00732ED7"/>
    <w:rsid w:val="0073533F"/>
    <w:rsid w:val="0073670E"/>
    <w:rsid w:val="007368F0"/>
    <w:rsid w:val="00742324"/>
    <w:rsid w:val="00742359"/>
    <w:rsid w:val="00757443"/>
    <w:rsid w:val="0076002C"/>
    <w:rsid w:val="007627A2"/>
    <w:rsid w:val="00774ECE"/>
    <w:rsid w:val="00777F70"/>
    <w:rsid w:val="0078062B"/>
    <w:rsid w:val="007B0CDC"/>
    <w:rsid w:val="007B0FD5"/>
    <w:rsid w:val="007B244A"/>
    <w:rsid w:val="007B3A39"/>
    <w:rsid w:val="007C0469"/>
    <w:rsid w:val="007D051B"/>
    <w:rsid w:val="007D3F29"/>
    <w:rsid w:val="007D661E"/>
    <w:rsid w:val="007E14D7"/>
    <w:rsid w:val="007E2D4E"/>
    <w:rsid w:val="007E3EEF"/>
    <w:rsid w:val="007E570D"/>
    <w:rsid w:val="007E6329"/>
    <w:rsid w:val="007E725D"/>
    <w:rsid w:val="007F0E28"/>
    <w:rsid w:val="00803261"/>
    <w:rsid w:val="00807062"/>
    <w:rsid w:val="00814C2E"/>
    <w:rsid w:val="0081529D"/>
    <w:rsid w:val="008158E3"/>
    <w:rsid w:val="008170A1"/>
    <w:rsid w:val="008260BA"/>
    <w:rsid w:val="0083079C"/>
    <w:rsid w:val="00831C8B"/>
    <w:rsid w:val="0083610B"/>
    <w:rsid w:val="008378F5"/>
    <w:rsid w:val="008428C8"/>
    <w:rsid w:val="0084304A"/>
    <w:rsid w:val="008520E4"/>
    <w:rsid w:val="008616EA"/>
    <w:rsid w:val="00862988"/>
    <w:rsid w:val="00864593"/>
    <w:rsid w:val="00864739"/>
    <w:rsid w:val="0087335B"/>
    <w:rsid w:val="0087539E"/>
    <w:rsid w:val="00877118"/>
    <w:rsid w:val="008777F3"/>
    <w:rsid w:val="00880CFE"/>
    <w:rsid w:val="00893E59"/>
    <w:rsid w:val="0089620B"/>
    <w:rsid w:val="0089785F"/>
    <w:rsid w:val="008A5D74"/>
    <w:rsid w:val="008A6F54"/>
    <w:rsid w:val="008B2144"/>
    <w:rsid w:val="008B253E"/>
    <w:rsid w:val="008B379B"/>
    <w:rsid w:val="008C0D95"/>
    <w:rsid w:val="008C26A4"/>
    <w:rsid w:val="008C55A0"/>
    <w:rsid w:val="008D0E64"/>
    <w:rsid w:val="008D2195"/>
    <w:rsid w:val="008D37C1"/>
    <w:rsid w:val="008E178B"/>
    <w:rsid w:val="008E55BB"/>
    <w:rsid w:val="008F559D"/>
    <w:rsid w:val="009028F9"/>
    <w:rsid w:val="009037C2"/>
    <w:rsid w:val="00903B45"/>
    <w:rsid w:val="00904BE0"/>
    <w:rsid w:val="00905A7B"/>
    <w:rsid w:val="00906BB6"/>
    <w:rsid w:val="0091364D"/>
    <w:rsid w:val="0092019E"/>
    <w:rsid w:val="00920CD3"/>
    <w:rsid w:val="009231B9"/>
    <w:rsid w:val="00923610"/>
    <w:rsid w:val="00926A30"/>
    <w:rsid w:val="009276E3"/>
    <w:rsid w:val="0093332A"/>
    <w:rsid w:val="009345DE"/>
    <w:rsid w:val="009347C4"/>
    <w:rsid w:val="0093503F"/>
    <w:rsid w:val="0094513B"/>
    <w:rsid w:val="00947193"/>
    <w:rsid w:val="00952F6A"/>
    <w:rsid w:val="00955C2E"/>
    <w:rsid w:val="009648B8"/>
    <w:rsid w:val="00965C42"/>
    <w:rsid w:val="00971482"/>
    <w:rsid w:val="00987462"/>
    <w:rsid w:val="0099661C"/>
    <w:rsid w:val="00996685"/>
    <w:rsid w:val="009A0E96"/>
    <w:rsid w:val="009A1EEE"/>
    <w:rsid w:val="009A25DD"/>
    <w:rsid w:val="009D0A4C"/>
    <w:rsid w:val="009D205C"/>
    <w:rsid w:val="009D4DB0"/>
    <w:rsid w:val="009E3105"/>
    <w:rsid w:val="009E686A"/>
    <w:rsid w:val="009F4984"/>
    <w:rsid w:val="00A05AB9"/>
    <w:rsid w:val="00A06CD4"/>
    <w:rsid w:val="00A078D5"/>
    <w:rsid w:val="00A07EDE"/>
    <w:rsid w:val="00A117A9"/>
    <w:rsid w:val="00A12FE7"/>
    <w:rsid w:val="00A1322C"/>
    <w:rsid w:val="00A13A1B"/>
    <w:rsid w:val="00A22527"/>
    <w:rsid w:val="00A244CA"/>
    <w:rsid w:val="00A2682F"/>
    <w:rsid w:val="00A30BB2"/>
    <w:rsid w:val="00A30BD8"/>
    <w:rsid w:val="00A3362D"/>
    <w:rsid w:val="00A40A5D"/>
    <w:rsid w:val="00A42614"/>
    <w:rsid w:val="00A46612"/>
    <w:rsid w:val="00A5604A"/>
    <w:rsid w:val="00A60971"/>
    <w:rsid w:val="00A720D2"/>
    <w:rsid w:val="00A77459"/>
    <w:rsid w:val="00A83491"/>
    <w:rsid w:val="00A90B94"/>
    <w:rsid w:val="00A93B43"/>
    <w:rsid w:val="00A958E6"/>
    <w:rsid w:val="00A95C15"/>
    <w:rsid w:val="00A97DCB"/>
    <w:rsid w:val="00AA2D8E"/>
    <w:rsid w:val="00AA430A"/>
    <w:rsid w:val="00AB56A2"/>
    <w:rsid w:val="00AB6399"/>
    <w:rsid w:val="00AB759B"/>
    <w:rsid w:val="00AC3E50"/>
    <w:rsid w:val="00AC44F6"/>
    <w:rsid w:val="00AC6427"/>
    <w:rsid w:val="00AC6CAF"/>
    <w:rsid w:val="00AD2BF0"/>
    <w:rsid w:val="00AE0983"/>
    <w:rsid w:val="00AE14E8"/>
    <w:rsid w:val="00AE2094"/>
    <w:rsid w:val="00AE361B"/>
    <w:rsid w:val="00AE4CED"/>
    <w:rsid w:val="00AE667A"/>
    <w:rsid w:val="00AF14B7"/>
    <w:rsid w:val="00AF45E6"/>
    <w:rsid w:val="00AF6A2C"/>
    <w:rsid w:val="00B003EF"/>
    <w:rsid w:val="00B04C82"/>
    <w:rsid w:val="00B06C36"/>
    <w:rsid w:val="00B154EA"/>
    <w:rsid w:val="00B21D9C"/>
    <w:rsid w:val="00B234BD"/>
    <w:rsid w:val="00B25E57"/>
    <w:rsid w:val="00B26B79"/>
    <w:rsid w:val="00B26C61"/>
    <w:rsid w:val="00B2789E"/>
    <w:rsid w:val="00B30EF8"/>
    <w:rsid w:val="00B353DD"/>
    <w:rsid w:val="00B35BF7"/>
    <w:rsid w:val="00B372BD"/>
    <w:rsid w:val="00B4055C"/>
    <w:rsid w:val="00B40576"/>
    <w:rsid w:val="00B40EEB"/>
    <w:rsid w:val="00B41E32"/>
    <w:rsid w:val="00B44F1D"/>
    <w:rsid w:val="00B46DFB"/>
    <w:rsid w:val="00B551F6"/>
    <w:rsid w:val="00B57465"/>
    <w:rsid w:val="00B57AA9"/>
    <w:rsid w:val="00B6261F"/>
    <w:rsid w:val="00B642AF"/>
    <w:rsid w:val="00B6453A"/>
    <w:rsid w:val="00B65663"/>
    <w:rsid w:val="00B65A95"/>
    <w:rsid w:val="00B66C3C"/>
    <w:rsid w:val="00B66DBD"/>
    <w:rsid w:val="00B72CE0"/>
    <w:rsid w:val="00B7369E"/>
    <w:rsid w:val="00B7527B"/>
    <w:rsid w:val="00B7683A"/>
    <w:rsid w:val="00B77333"/>
    <w:rsid w:val="00B80538"/>
    <w:rsid w:val="00B820F9"/>
    <w:rsid w:val="00B82DA3"/>
    <w:rsid w:val="00BA0E96"/>
    <w:rsid w:val="00BA39BC"/>
    <w:rsid w:val="00BA3FBB"/>
    <w:rsid w:val="00BA63D3"/>
    <w:rsid w:val="00BA6D88"/>
    <w:rsid w:val="00BA7B0E"/>
    <w:rsid w:val="00BB436C"/>
    <w:rsid w:val="00BB624A"/>
    <w:rsid w:val="00BB647C"/>
    <w:rsid w:val="00BB7611"/>
    <w:rsid w:val="00BB7857"/>
    <w:rsid w:val="00BC6465"/>
    <w:rsid w:val="00BC6B9B"/>
    <w:rsid w:val="00BD3A5C"/>
    <w:rsid w:val="00BD7340"/>
    <w:rsid w:val="00BE0BA5"/>
    <w:rsid w:val="00BE10DE"/>
    <w:rsid w:val="00BE199E"/>
    <w:rsid w:val="00BE2C96"/>
    <w:rsid w:val="00BE2EFC"/>
    <w:rsid w:val="00BE3E76"/>
    <w:rsid w:val="00BE72B6"/>
    <w:rsid w:val="00BE79FA"/>
    <w:rsid w:val="00BF50DB"/>
    <w:rsid w:val="00C00508"/>
    <w:rsid w:val="00C1401E"/>
    <w:rsid w:val="00C36A65"/>
    <w:rsid w:val="00C37C36"/>
    <w:rsid w:val="00C41B46"/>
    <w:rsid w:val="00C51243"/>
    <w:rsid w:val="00C52F95"/>
    <w:rsid w:val="00C53ECB"/>
    <w:rsid w:val="00C5766B"/>
    <w:rsid w:val="00C64C61"/>
    <w:rsid w:val="00C67A27"/>
    <w:rsid w:val="00C67D84"/>
    <w:rsid w:val="00C70281"/>
    <w:rsid w:val="00C71A15"/>
    <w:rsid w:val="00C7241F"/>
    <w:rsid w:val="00C75B6F"/>
    <w:rsid w:val="00C80565"/>
    <w:rsid w:val="00C9257C"/>
    <w:rsid w:val="00C93512"/>
    <w:rsid w:val="00C952EC"/>
    <w:rsid w:val="00CA38EE"/>
    <w:rsid w:val="00CB0888"/>
    <w:rsid w:val="00CB098D"/>
    <w:rsid w:val="00CB1568"/>
    <w:rsid w:val="00CB21B9"/>
    <w:rsid w:val="00CC6A2D"/>
    <w:rsid w:val="00CC6FC0"/>
    <w:rsid w:val="00CD2710"/>
    <w:rsid w:val="00CD2FE8"/>
    <w:rsid w:val="00CD32F9"/>
    <w:rsid w:val="00CD5FEA"/>
    <w:rsid w:val="00CD67A8"/>
    <w:rsid w:val="00CE41CE"/>
    <w:rsid w:val="00CE7E17"/>
    <w:rsid w:val="00CF4E2A"/>
    <w:rsid w:val="00CF5AFD"/>
    <w:rsid w:val="00CF691F"/>
    <w:rsid w:val="00CF7847"/>
    <w:rsid w:val="00D03B38"/>
    <w:rsid w:val="00D178E3"/>
    <w:rsid w:val="00D22AA1"/>
    <w:rsid w:val="00D22C05"/>
    <w:rsid w:val="00D24894"/>
    <w:rsid w:val="00D2589C"/>
    <w:rsid w:val="00D269B3"/>
    <w:rsid w:val="00D30973"/>
    <w:rsid w:val="00D40684"/>
    <w:rsid w:val="00D43F30"/>
    <w:rsid w:val="00D47A48"/>
    <w:rsid w:val="00D536A0"/>
    <w:rsid w:val="00D55BD2"/>
    <w:rsid w:val="00D609EE"/>
    <w:rsid w:val="00D77023"/>
    <w:rsid w:val="00D80110"/>
    <w:rsid w:val="00D9365D"/>
    <w:rsid w:val="00D954D2"/>
    <w:rsid w:val="00DA3321"/>
    <w:rsid w:val="00DA3A41"/>
    <w:rsid w:val="00DA4263"/>
    <w:rsid w:val="00DB0230"/>
    <w:rsid w:val="00DB2D4B"/>
    <w:rsid w:val="00DB2E6F"/>
    <w:rsid w:val="00DB378C"/>
    <w:rsid w:val="00DC679E"/>
    <w:rsid w:val="00DD52C3"/>
    <w:rsid w:val="00DD6853"/>
    <w:rsid w:val="00DE15DD"/>
    <w:rsid w:val="00DE58F2"/>
    <w:rsid w:val="00DE73DB"/>
    <w:rsid w:val="00DF2168"/>
    <w:rsid w:val="00DF2BAB"/>
    <w:rsid w:val="00E06082"/>
    <w:rsid w:val="00E06541"/>
    <w:rsid w:val="00E07FA1"/>
    <w:rsid w:val="00E15787"/>
    <w:rsid w:val="00E159A4"/>
    <w:rsid w:val="00E165D8"/>
    <w:rsid w:val="00E16A45"/>
    <w:rsid w:val="00E30B15"/>
    <w:rsid w:val="00E311C7"/>
    <w:rsid w:val="00E3350A"/>
    <w:rsid w:val="00E33F74"/>
    <w:rsid w:val="00E41E3D"/>
    <w:rsid w:val="00E45B8B"/>
    <w:rsid w:val="00E46F58"/>
    <w:rsid w:val="00E5129F"/>
    <w:rsid w:val="00E52DAB"/>
    <w:rsid w:val="00E542F6"/>
    <w:rsid w:val="00E5743C"/>
    <w:rsid w:val="00E6390C"/>
    <w:rsid w:val="00E64129"/>
    <w:rsid w:val="00E66841"/>
    <w:rsid w:val="00E7328F"/>
    <w:rsid w:val="00E81A1A"/>
    <w:rsid w:val="00E9067A"/>
    <w:rsid w:val="00E930E3"/>
    <w:rsid w:val="00E94420"/>
    <w:rsid w:val="00E964AE"/>
    <w:rsid w:val="00EB067E"/>
    <w:rsid w:val="00EB3A4E"/>
    <w:rsid w:val="00EB52BB"/>
    <w:rsid w:val="00EB5588"/>
    <w:rsid w:val="00EC1F40"/>
    <w:rsid w:val="00EC34B4"/>
    <w:rsid w:val="00EC4C67"/>
    <w:rsid w:val="00EE0E29"/>
    <w:rsid w:val="00EE121A"/>
    <w:rsid w:val="00EE2097"/>
    <w:rsid w:val="00EE37C8"/>
    <w:rsid w:val="00EF39C4"/>
    <w:rsid w:val="00EF714D"/>
    <w:rsid w:val="00F04047"/>
    <w:rsid w:val="00F042E1"/>
    <w:rsid w:val="00F138EF"/>
    <w:rsid w:val="00F16C32"/>
    <w:rsid w:val="00F17A43"/>
    <w:rsid w:val="00F17E09"/>
    <w:rsid w:val="00F22372"/>
    <w:rsid w:val="00F26F26"/>
    <w:rsid w:val="00F27B9A"/>
    <w:rsid w:val="00F32F8C"/>
    <w:rsid w:val="00F3332C"/>
    <w:rsid w:val="00F35331"/>
    <w:rsid w:val="00F36B59"/>
    <w:rsid w:val="00F37912"/>
    <w:rsid w:val="00F40D6D"/>
    <w:rsid w:val="00F42614"/>
    <w:rsid w:val="00F43354"/>
    <w:rsid w:val="00F45C61"/>
    <w:rsid w:val="00F509B9"/>
    <w:rsid w:val="00F51327"/>
    <w:rsid w:val="00F51371"/>
    <w:rsid w:val="00F51928"/>
    <w:rsid w:val="00F53C1D"/>
    <w:rsid w:val="00F53F91"/>
    <w:rsid w:val="00F74527"/>
    <w:rsid w:val="00F7687B"/>
    <w:rsid w:val="00F85E03"/>
    <w:rsid w:val="00F86140"/>
    <w:rsid w:val="00F91C57"/>
    <w:rsid w:val="00F92C64"/>
    <w:rsid w:val="00F95C07"/>
    <w:rsid w:val="00F96CD0"/>
    <w:rsid w:val="00FA3068"/>
    <w:rsid w:val="00FA4A17"/>
    <w:rsid w:val="00FA6AA8"/>
    <w:rsid w:val="00FA704F"/>
    <w:rsid w:val="00FB176F"/>
    <w:rsid w:val="00FB48C8"/>
    <w:rsid w:val="00FB51F8"/>
    <w:rsid w:val="00FB7EDA"/>
    <w:rsid w:val="00FC623D"/>
    <w:rsid w:val="00FC6C77"/>
    <w:rsid w:val="00FD37A8"/>
    <w:rsid w:val="00FD502D"/>
    <w:rsid w:val="00FE01BB"/>
    <w:rsid w:val="00FF0AFA"/>
    <w:rsid w:val="00FF26B7"/>
    <w:rsid w:val="00FF3900"/>
    <w:rsid w:val="00FF6A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1E9BC"/>
  <w15:chartTrackingRefBased/>
  <w15:docId w15:val="{49BAFEDA-C48A-4BA1-BC4C-0FE5A33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D42"/>
  </w:style>
  <w:style w:type="paragraph" w:styleId="Heading1">
    <w:name w:val="heading 1"/>
    <w:basedOn w:val="Normal"/>
    <w:next w:val="Normal"/>
    <w:link w:val="Heading1Char"/>
    <w:uiPriority w:val="9"/>
    <w:qFormat/>
    <w:rsid w:val="008C5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6C5"/>
    <w:pPr>
      <w:keepNext/>
      <w:keepLines/>
      <w:spacing w:before="40" w:beforeAutospacing="1" w:after="0" w:line="240" w:lineRule="auto"/>
      <w:outlineLvl w:val="1"/>
    </w:pPr>
    <w:rPr>
      <w:rFonts w:eastAsiaTheme="majorEastAsia" w:cstheme="majorBidi"/>
      <w:b/>
      <w:kern w:val="28"/>
      <w:sz w:val="32"/>
      <w:szCs w:val="26"/>
    </w:rPr>
  </w:style>
  <w:style w:type="paragraph" w:styleId="Heading3">
    <w:name w:val="heading 3"/>
    <w:basedOn w:val="Heading2"/>
    <w:next w:val="Normal"/>
    <w:link w:val="Heading3Char"/>
    <w:uiPriority w:val="9"/>
    <w:unhideWhenUsed/>
    <w:qFormat/>
    <w:rsid w:val="003229A7"/>
    <w:pPr>
      <w:outlineLvl w:val="2"/>
    </w:pPr>
    <w:rPr>
      <w:sz w:val="28"/>
      <w:szCs w:val="28"/>
    </w:rPr>
  </w:style>
  <w:style w:type="paragraph" w:styleId="Heading4">
    <w:name w:val="heading 4"/>
    <w:basedOn w:val="Normal"/>
    <w:next w:val="Normal"/>
    <w:link w:val="Heading4Char"/>
    <w:uiPriority w:val="9"/>
    <w:unhideWhenUsed/>
    <w:qFormat/>
    <w:rsid w:val="005A4986"/>
    <w:pPr>
      <w:keepNext/>
      <w:keepLines/>
      <w:spacing w:before="40" w:beforeAutospacing="1"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2097"/>
    <w:pPr>
      <w:ind w:left="720"/>
      <w:contextualSpacing/>
    </w:pPr>
  </w:style>
  <w:style w:type="paragraph" w:styleId="FootnoteText">
    <w:name w:val="footnote text"/>
    <w:basedOn w:val="Normal"/>
    <w:link w:val="FootnoteTextChar"/>
    <w:uiPriority w:val="99"/>
    <w:semiHidden/>
    <w:unhideWhenUsed/>
    <w:rsid w:val="00EE209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EE2097"/>
    <w:rPr>
      <w:rFonts w:ascii="Calibri" w:hAnsi="Calibri" w:cs="Times New Roman"/>
      <w:sz w:val="20"/>
      <w:szCs w:val="20"/>
    </w:rPr>
  </w:style>
  <w:style w:type="character" w:customStyle="1" w:styleId="ListParagraphChar">
    <w:name w:val="List Paragraph Char"/>
    <w:basedOn w:val="DefaultParagraphFont"/>
    <w:link w:val="ListParagraph"/>
    <w:uiPriority w:val="34"/>
    <w:locked/>
    <w:rsid w:val="00042155"/>
  </w:style>
  <w:style w:type="paragraph" w:customStyle="1" w:styleId="Default">
    <w:name w:val="Default"/>
    <w:rsid w:val="00042155"/>
    <w:pPr>
      <w:autoSpaceDE w:val="0"/>
      <w:autoSpaceDN w:val="0"/>
      <w:adjustRightInd w:val="0"/>
      <w:spacing w:after="0" w:line="240" w:lineRule="auto"/>
    </w:pPr>
    <w:rPr>
      <w:rFonts w:ascii="Calibri" w:hAnsi="Calibri" w:cs="Calibri"/>
      <w:color w:val="000000"/>
      <w:sz w:val="24"/>
      <w:szCs w:val="24"/>
    </w:rPr>
  </w:style>
  <w:style w:type="table" w:styleId="TableGridLight">
    <w:name w:val="Grid Table Light"/>
    <w:basedOn w:val="TableNormal"/>
    <w:uiPriority w:val="40"/>
    <w:rsid w:val="000421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021B5A"/>
    <w:rPr>
      <w:sz w:val="16"/>
      <w:szCs w:val="16"/>
    </w:rPr>
  </w:style>
  <w:style w:type="paragraph" w:styleId="CommentText">
    <w:name w:val="annotation text"/>
    <w:basedOn w:val="Normal"/>
    <w:link w:val="CommentTextChar"/>
    <w:uiPriority w:val="99"/>
    <w:unhideWhenUsed/>
    <w:rsid w:val="00021B5A"/>
    <w:pPr>
      <w:spacing w:before="100" w:beforeAutospacing="1" w:after="120" w:line="240" w:lineRule="auto"/>
    </w:pPr>
    <w:rPr>
      <w:sz w:val="20"/>
      <w:szCs w:val="20"/>
    </w:rPr>
  </w:style>
  <w:style w:type="character" w:customStyle="1" w:styleId="CommentTextChar">
    <w:name w:val="Comment Text Char"/>
    <w:basedOn w:val="DefaultParagraphFont"/>
    <w:link w:val="CommentText"/>
    <w:uiPriority w:val="99"/>
    <w:rsid w:val="00021B5A"/>
    <w:rPr>
      <w:sz w:val="20"/>
      <w:szCs w:val="20"/>
    </w:rPr>
  </w:style>
  <w:style w:type="character" w:customStyle="1" w:styleId="Heading4Char">
    <w:name w:val="Heading 4 Char"/>
    <w:basedOn w:val="DefaultParagraphFont"/>
    <w:link w:val="Heading4"/>
    <w:uiPriority w:val="9"/>
    <w:rsid w:val="005A4986"/>
    <w:rPr>
      <w:rFonts w:eastAsiaTheme="majorEastAsia" w:cstheme="majorBidi"/>
      <w:b/>
      <w:iCs/>
      <w:sz w:val="24"/>
    </w:rPr>
  </w:style>
  <w:style w:type="character" w:styleId="Hyperlink">
    <w:name w:val="Hyperlink"/>
    <w:basedOn w:val="DefaultParagraphFont"/>
    <w:uiPriority w:val="99"/>
    <w:unhideWhenUsed/>
    <w:rsid w:val="005A4986"/>
    <w:rPr>
      <w:color w:val="0563C1" w:themeColor="hyperlink"/>
      <w:u w:val="single"/>
    </w:rPr>
  </w:style>
  <w:style w:type="table" w:styleId="TableGrid">
    <w:name w:val="Table Grid"/>
    <w:basedOn w:val="TableNormal"/>
    <w:uiPriority w:val="39"/>
    <w:rsid w:val="005A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55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66C5"/>
    <w:rPr>
      <w:rFonts w:eastAsiaTheme="majorEastAsia" w:cstheme="majorBidi"/>
      <w:b/>
      <w:kern w:val="28"/>
      <w:sz w:val="32"/>
      <w:szCs w:val="26"/>
    </w:rPr>
  </w:style>
  <w:style w:type="paragraph" w:styleId="Header">
    <w:name w:val="header"/>
    <w:basedOn w:val="Normal"/>
    <w:link w:val="HeaderChar"/>
    <w:uiPriority w:val="99"/>
    <w:unhideWhenUsed/>
    <w:rsid w:val="008C55A0"/>
    <w:pPr>
      <w:tabs>
        <w:tab w:val="center" w:pos="4513"/>
        <w:tab w:val="right" w:pos="9026"/>
      </w:tabs>
      <w:spacing w:before="100" w:beforeAutospacing="1" w:after="0" w:line="240" w:lineRule="auto"/>
    </w:pPr>
    <w:rPr>
      <w:sz w:val="24"/>
    </w:rPr>
  </w:style>
  <w:style w:type="character" w:customStyle="1" w:styleId="HeaderChar">
    <w:name w:val="Header Char"/>
    <w:basedOn w:val="DefaultParagraphFont"/>
    <w:link w:val="Header"/>
    <w:uiPriority w:val="99"/>
    <w:rsid w:val="008C55A0"/>
    <w:rPr>
      <w:sz w:val="24"/>
    </w:rPr>
  </w:style>
  <w:style w:type="paragraph" w:styleId="Footer">
    <w:name w:val="footer"/>
    <w:basedOn w:val="Normal"/>
    <w:link w:val="FooterChar"/>
    <w:uiPriority w:val="99"/>
    <w:unhideWhenUsed/>
    <w:rsid w:val="008C55A0"/>
    <w:pPr>
      <w:tabs>
        <w:tab w:val="center" w:pos="4513"/>
        <w:tab w:val="right" w:pos="9026"/>
      </w:tabs>
      <w:spacing w:before="100" w:beforeAutospacing="1" w:after="0" w:line="240" w:lineRule="auto"/>
    </w:pPr>
    <w:rPr>
      <w:sz w:val="24"/>
    </w:rPr>
  </w:style>
  <w:style w:type="character" w:customStyle="1" w:styleId="FooterChar">
    <w:name w:val="Footer Char"/>
    <w:basedOn w:val="DefaultParagraphFont"/>
    <w:link w:val="Footer"/>
    <w:uiPriority w:val="99"/>
    <w:rsid w:val="008C55A0"/>
    <w:rPr>
      <w:sz w:val="24"/>
    </w:rPr>
  </w:style>
  <w:style w:type="paragraph" w:customStyle="1" w:styleId="Bullets">
    <w:name w:val="Bullets"/>
    <w:basedOn w:val="ListParagraph"/>
    <w:qFormat/>
    <w:rsid w:val="008C55A0"/>
    <w:pPr>
      <w:numPr>
        <w:ilvl w:val="1"/>
        <w:numId w:val="12"/>
      </w:numPr>
      <w:tabs>
        <w:tab w:val="left" w:pos="709"/>
      </w:tabs>
      <w:spacing w:before="100" w:beforeAutospacing="1" w:after="200" w:line="276" w:lineRule="auto"/>
    </w:pPr>
    <w:rPr>
      <w:sz w:val="24"/>
    </w:rPr>
  </w:style>
  <w:style w:type="character" w:styleId="FootnoteReference">
    <w:name w:val="footnote reference"/>
    <w:basedOn w:val="DefaultParagraphFont"/>
    <w:uiPriority w:val="99"/>
    <w:semiHidden/>
    <w:unhideWhenUsed/>
    <w:rsid w:val="008C55A0"/>
    <w:rPr>
      <w:vertAlign w:val="superscript"/>
    </w:rPr>
  </w:style>
  <w:style w:type="paragraph" w:styleId="TOCHeading">
    <w:name w:val="TOC Heading"/>
    <w:basedOn w:val="Heading1"/>
    <w:next w:val="Normal"/>
    <w:uiPriority w:val="39"/>
    <w:unhideWhenUsed/>
    <w:qFormat/>
    <w:rsid w:val="008C55A0"/>
    <w:pPr>
      <w:spacing w:beforeAutospacing="1"/>
      <w:outlineLvl w:val="9"/>
    </w:pPr>
    <w:rPr>
      <w:lang w:val="en-US"/>
    </w:rPr>
  </w:style>
  <w:style w:type="paragraph" w:styleId="TOC1">
    <w:name w:val="toc 1"/>
    <w:basedOn w:val="Normal"/>
    <w:next w:val="Normal"/>
    <w:autoRedefine/>
    <w:uiPriority w:val="39"/>
    <w:unhideWhenUsed/>
    <w:rsid w:val="008C55A0"/>
    <w:pPr>
      <w:spacing w:before="100" w:beforeAutospacing="1" w:after="100"/>
    </w:pPr>
    <w:rPr>
      <w:sz w:val="24"/>
    </w:rPr>
  </w:style>
  <w:style w:type="paragraph" w:styleId="TOC2">
    <w:name w:val="toc 2"/>
    <w:basedOn w:val="Normal"/>
    <w:next w:val="Normal"/>
    <w:autoRedefine/>
    <w:uiPriority w:val="39"/>
    <w:unhideWhenUsed/>
    <w:rsid w:val="008C55A0"/>
    <w:pPr>
      <w:spacing w:before="100" w:beforeAutospacing="1" w:after="100"/>
      <w:ind w:left="240"/>
    </w:pPr>
    <w:rPr>
      <w:sz w:val="24"/>
    </w:rPr>
  </w:style>
  <w:style w:type="paragraph" w:styleId="BalloonText">
    <w:name w:val="Balloon Text"/>
    <w:basedOn w:val="Normal"/>
    <w:link w:val="BalloonTextChar"/>
    <w:uiPriority w:val="99"/>
    <w:semiHidden/>
    <w:unhideWhenUsed/>
    <w:rsid w:val="00FD3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7A8"/>
    <w:rPr>
      <w:rFonts w:ascii="Segoe UI" w:hAnsi="Segoe UI" w:cs="Segoe UI"/>
      <w:sz w:val="18"/>
      <w:szCs w:val="18"/>
    </w:rPr>
  </w:style>
  <w:style w:type="character" w:customStyle="1" w:styleId="Heading3Char">
    <w:name w:val="Heading 3 Char"/>
    <w:basedOn w:val="DefaultParagraphFont"/>
    <w:link w:val="Heading3"/>
    <w:uiPriority w:val="9"/>
    <w:rsid w:val="003229A7"/>
    <w:rPr>
      <w:rFonts w:eastAsiaTheme="majorEastAsia" w:cstheme="majorBidi"/>
      <w:b/>
      <w:kern w:val="28"/>
      <w:sz w:val="28"/>
      <w:szCs w:val="28"/>
    </w:rPr>
  </w:style>
  <w:style w:type="paragraph" w:styleId="TOC3">
    <w:name w:val="toc 3"/>
    <w:basedOn w:val="Normal"/>
    <w:next w:val="Normal"/>
    <w:autoRedefine/>
    <w:uiPriority w:val="39"/>
    <w:unhideWhenUsed/>
    <w:rsid w:val="003229A7"/>
    <w:pPr>
      <w:tabs>
        <w:tab w:val="right" w:leader="dot" w:pos="9016"/>
      </w:tabs>
      <w:spacing w:after="100"/>
      <w:ind w:left="440"/>
    </w:pPr>
  </w:style>
  <w:style w:type="character" w:styleId="FollowedHyperlink">
    <w:name w:val="FollowedHyperlink"/>
    <w:basedOn w:val="DefaultParagraphFont"/>
    <w:uiPriority w:val="99"/>
    <w:semiHidden/>
    <w:unhideWhenUsed/>
    <w:rsid w:val="00CD67A8"/>
    <w:rPr>
      <w:color w:val="954F72" w:themeColor="followedHyperlink"/>
      <w:u w:val="single"/>
    </w:rPr>
  </w:style>
  <w:style w:type="paragraph" w:styleId="NormalWeb">
    <w:name w:val="Normal (Web)"/>
    <w:basedOn w:val="Normal"/>
    <w:uiPriority w:val="99"/>
    <w:unhideWhenUsed/>
    <w:rsid w:val="00BB647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FA6AA8"/>
    <w:pPr>
      <w:spacing w:before="0" w:beforeAutospacing="0" w:after="160"/>
    </w:pPr>
    <w:rPr>
      <w:b/>
      <w:bCs/>
    </w:rPr>
  </w:style>
  <w:style w:type="character" w:customStyle="1" w:styleId="CommentSubjectChar">
    <w:name w:val="Comment Subject Char"/>
    <w:basedOn w:val="CommentTextChar"/>
    <w:link w:val="CommentSubject"/>
    <w:uiPriority w:val="99"/>
    <w:semiHidden/>
    <w:rsid w:val="00FA6AA8"/>
    <w:rPr>
      <w:b/>
      <w:bCs/>
      <w:sz w:val="20"/>
      <w:szCs w:val="20"/>
    </w:rPr>
  </w:style>
  <w:style w:type="paragraph" w:styleId="Revision">
    <w:name w:val="Revision"/>
    <w:hidden/>
    <w:uiPriority w:val="99"/>
    <w:semiHidden/>
    <w:rsid w:val="00694E2A"/>
    <w:pPr>
      <w:spacing w:after="0" w:line="240" w:lineRule="auto"/>
    </w:pPr>
  </w:style>
  <w:style w:type="character" w:customStyle="1" w:styleId="ablistChar">
    <w:name w:val="a) b) list Char"/>
    <w:basedOn w:val="DefaultParagraphFont"/>
    <w:link w:val="ablist"/>
    <w:locked/>
    <w:rsid w:val="001B583A"/>
  </w:style>
  <w:style w:type="paragraph" w:customStyle="1" w:styleId="ablist">
    <w:name w:val="a) b) list"/>
    <w:basedOn w:val="Normal"/>
    <w:link w:val="ablistChar"/>
    <w:rsid w:val="001B583A"/>
    <w:pPr>
      <w:tabs>
        <w:tab w:val="num" w:pos="360"/>
      </w:tabs>
      <w:spacing w:before="120" w:after="12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438321">
      <w:bodyDiv w:val="1"/>
      <w:marLeft w:val="0"/>
      <w:marRight w:val="0"/>
      <w:marTop w:val="0"/>
      <w:marBottom w:val="0"/>
      <w:divBdr>
        <w:top w:val="none" w:sz="0" w:space="0" w:color="auto"/>
        <w:left w:val="none" w:sz="0" w:space="0" w:color="auto"/>
        <w:bottom w:val="none" w:sz="0" w:space="0" w:color="auto"/>
        <w:right w:val="none" w:sz="0" w:space="0" w:color="auto"/>
      </w:divBdr>
    </w:div>
    <w:div w:id="956838864">
      <w:bodyDiv w:val="1"/>
      <w:marLeft w:val="0"/>
      <w:marRight w:val="0"/>
      <w:marTop w:val="0"/>
      <w:marBottom w:val="0"/>
      <w:divBdr>
        <w:top w:val="none" w:sz="0" w:space="0" w:color="auto"/>
        <w:left w:val="none" w:sz="0" w:space="0" w:color="auto"/>
        <w:bottom w:val="none" w:sz="0" w:space="0" w:color="auto"/>
        <w:right w:val="none" w:sz="0" w:space="0" w:color="auto"/>
      </w:divBdr>
    </w:div>
    <w:div w:id="992950743">
      <w:bodyDiv w:val="1"/>
      <w:marLeft w:val="0"/>
      <w:marRight w:val="0"/>
      <w:marTop w:val="0"/>
      <w:marBottom w:val="0"/>
      <w:divBdr>
        <w:top w:val="none" w:sz="0" w:space="0" w:color="auto"/>
        <w:left w:val="none" w:sz="0" w:space="0" w:color="auto"/>
        <w:bottom w:val="none" w:sz="0" w:space="0" w:color="auto"/>
        <w:right w:val="none" w:sz="0" w:space="0" w:color="auto"/>
      </w:divBdr>
    </w:div>
    <w:div w:id="1221211752">
      <w:bodyDiv w:val="1"/>
      <w:marLeft w:val="0"/>
      <w:marRight w:val="0"/>
      <w:marTop w:val="0"/>
      <w:marBottom w:val="0"/>
      <w:divBdr>
        <w:top w:val="none" w:sz="0" w:space="0" w:color="auto"/>
        <w:left w:val="none" w:sz="0" w:space="0" w:color="auto"/>
        <w:bottom w:val="none" w:sz="0" w:space="0" w:color="auto"/>
        <w:right w:val="none" w:sz="0" w:space="0" w:color="auto"/>
      </w:divBdr>
    </w:div>
    <w:div w:id="1223446252">
      <w:bodyDiv w:val="1"/>
      <w:marLeft w:val="0"/>
      <w:marRight w:val="0"/>
      <w:marTop w:val="0"/>
      <w:marBottom w:val="0"/>
      <w:divBdr>
        <w:top w:val="none" w:sz="0" w:space="0" w:color="auto"/>
        <w:left w:val="none" w:sz="0" w:space="0" w:color="auto"/>
        <w:bottom w:val="none" w:sz="0" w:space="0" w:color="auto"/>
        <w:right w:val="none" w:sz="0" w:space="0" w:color="auto"/>
      </w:divBdr>
    </w:div>
    <w:div w:id="1425027150">
      <w:bodyDiv w:val="1"/>
      <w:marLeft w:val="0"/>
      <w:marRight w:val="0"/>
      <w:marTop w:val="0"/>
      <w:marBottom w:val="0"/>
      <w:divBdr>
        <w:top w:val="none" w:sz="0" w:space="0" w:color="auto"/>
        <w:left w:val="none" w:sz="0" w:space="0" w:color="auto"/>
        <w:bottom w:val="none" w:sz="0" w:space="0" w:color="auto"/>
        <w:right w:val="none" w:sz="0" w:space="0" w:color="auto"/>
      </w:divBdr>
      <w:divsChild>
        <w:div w:id="1732465964">
          <w:marLeft w:val="1166"/>
          <w:marRight w:val="0"/>
          <w:marTop w:val="0"/>
          <w:marBottom w:val="0"/>
          <w:divBdr>
            <w:top w:val="none" w:sz="0" w:space="0" w:color="auto"/>
            <w:left w:val="none" w:sz="0" w:space="0" w:color="auto"/>
            <w:bottom w:val="none" w:sz="0" w:space="0" w:color="auto"/>
            <w:right w:val="none" w:sz="0" w:space="0" w:color="auto"/>
          </w:divBdr>
        </w:div>
        <w:div w:id="212543913">
          <w:marLeft w:val="1166"/>
          <w:marRight w:val="0"/>
          <w:marTop w:val="0"/>
          <w:marBottom w:val="0"/>
          <w:divBdr>
            <w:top w:val="none" w:sz="0" w:space="0" w:color="auto"/>
            <w:left w:val="none" w:sz="0" w:space="0" w:color="auto"/>
            <w:bottom w:val="none" w:sz="0" w:space="0" w:color="auto"/>
            <w:right w:val="none" w:sz="0" w:space="0" w:color="auto"/>
          </w:divBdr>
        </w:div>
        <w:div w:id="1019701595">
          <w:marLeft w:val="1166"/>
          <w:marRight w:val="0"/>
          <w:marTop w:val="0"/>
          <w:marBottom w:val="0"/>
          <w:divBdr>
            <w:top w:val="none" w:sz="0" w:space="0" w:color="auto"/>
            <w:left w:val="none" w:sz="0" w:space="0" w:color="auto"/>
            <w:bottom w:val="none" w:sz="0" w:space="0" w:color="auto"/>
            <w:right w:val="none" w:sz="0" w:space="0" w:color="auto"/>
          </w:divBdr>
        </w:div>
        <w:div w:id="2041055191">
          <w:marLeft w:val="1166"/>
          <w:marRight w:val="0"/>
          <w:marTop w:val="0"/>
          <w:marBottom w:val="0"/>
          <w:divBdr>
            <w:top w:val="none" w:sz="0" w:space="0" w:color="auto"/>
            <w:left w:val="none" w:sz="0" w:space="0" w:color="auto"/>
            <w:bottom w:val="none" w:sz="0" w:space="0" w:color="auto"/>
            <w:right w:val="none" w:sz="0" w:space="0" w:color="auto"/>
          </w:divBdr>
        </w:div>
      </w:divsChild>
    </w:div>
    <w:div w:id="15789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ia.org.nz/Portals/79/Content/Documents/Appendix%205%20-%20Table%20Two.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B613AC4768202F4C8CF64EAE117264E4" ma:contentTypeVersion="10" ma:contentTypeDescription="Create a new Word Document" ma:contentTypeScope="" ma:versionID="ff2f91ddf8636e8310acd5fd7f70c7d7">
  <xsd:schema xmlns:xsd="http://www.w3.org/2001/XMLSchema" xmlns:xs="http://www.w3.org/2001/XMLSchema" xmlns:p="http://schemas.microsoft.com/office/2006/metadata/properties" xmlns:ns3="01be4277-2979-4a68-876d-b92b25fceece" xmlns:ns4="ff300edf-a821-4813-ae23-f144a805ade8" xmlns:ns5="http://schemas.microsoft.com/sharepoint/v3/fields" targetNamespace="http://schemas.microsoft.com/office/2006/metadata/properties" ma:root="true" ma:fieldsID="fa7ee44b28ef511107ad3b743a33216a" ns3:_="" ns4:_="" ns5:_="">
    <xsd:import namespace="01be4277-2979-4a68-876d-b92b25fceece"/>
    <xsd:import namespace="ff300edf-a821-4813-ae23-f144a805ade8"/>
    <xsd:import namespace="http://schemas.microsoft.com/sharepoint/v3/fields"/>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m57f14219dcc4b68b912ee87d6b1ddba" minOccurs="0"/>
                <xsd:element ref="ns4:PingarLastProcessed" minOccurs="0"/>
                <xsd:element ref="ns4:b5885358d6c24831baec7a0d99fe25c5" minOccurs="0"/>
                <xsd:element ref="ns4:h083e40129b54928942f935d8f11551b" minOccurs="0"/>
                <xsd:element ref="ns5: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f9a86213-62e1-4b3e-affa-c42d88c8db6a" ma:anchorId="e4433790-3a69-47a8-99ac-cd1a80fc500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00edf-a821-4813-ae23-f144a805ade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0c0d7b2-6136-49d7-b3cb-e8b85c064e03}" ma:internalName="TaxCatchAll" ma:showField="CatchAllData" ma:web="ff300edf-a821-4813-ae23-f144a805ade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0c0d7b2-6136-49d7-b3cb-e8b85c064e03}" ma:internalName="TaxCatchAllLabel" ma:readOnly="true" ma:showField="CatchAllDataLabel" ma:web="ff300edf-a821-4813-ae23-f144a805ade8">
      <xsd:complexType>
        <xsd:complexContent>
          <xsd:extension base="dms:MultiChoiceLookup">
            <xsd:sequence>
              <xsd:element name="Value" type="dms:Lookup" maxOccurs="unbounded" minOccurs="0" nillable="true"/>
            </xsd:sequence>
          </xsd:extension>
        </xsd:complexContent>
      </xsd:complexType>
    </xsd:element>
    <xsd:element name="m57f14219dcc4b68b912ee87d6b1ddba" ma:index="15" nillable="true" ma:taxonomy="true" ma:internalName="m57f14219dcc4b68b912ee87d6b1ddba" ma:taxonomyFieldName="PingarMPI_Terms" ma:displayName="Derived Terms" ma:fieldId="{657f1421-9dcc-4b68-b912-ee87d6b1ddb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6" nillable="true" ma:displayName="PingarLastProcessed" ma:format="DateTime" ma:internalName="PingarLastProcessed">
      <xsd:simpleType>
        <xsd:restriction base="dms:DateTime"/>
      </xsd:simpleType>
    </xsd:element>
    <xsd:element name="b5885358d6c24831baec7a0d99fe25c5" ma:index="18" nillable="true" ma:taxonomy="true" ma:internalName="b5885358d6c24831baec7a0d99fe25c5" ma:taxonomyFieldName="MPISecurityClassification" ma:displayName="Security Classification" ma:default="1;#None|cf402fa0-b6a8-49a7-a22e-a95b6152c608" ma:fieldId="{b5885358-d6c2-4831-baec-7a0d99fe25c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h083e40129b54928942f935d8f11551b" ma:index="21" nillable="true" ma:taxonomy="true" ma:internalName="h083e40129b54928942f935d8f11551b" ma:taxonomyFieldName="MPIGIADocumentType" ma:displayName="Document Type" ma:default="" ma:fieldId="{1083e401-29b5-4928-942f-935d8f11551b}" ma:sspId="3bfd400a-bb0f-42a8-a885-98b592a0f767" ma:termSetId="a33e5188-c456-448a-8407-ab9596ad59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2" nillable="true" ma:displayName="Status" ma:format="Dropdown" ma:internalName="_Status">
      <xsd:simpleType>
        <xsd:union memberTypes="dms:Text">
          <xsd:simpleType>
            <xsd:restriction base="dms:Choice">
              <xsd:enumeration value="Draft"/>
              <xsd:enumeration value="Final"/>
              <xsd:enumeration value="Obsolet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f300edf-a821-4813-ae23-f144a805ade8">
      <Value>1</Value>
      <Value>6201</Value>
    </TaxCatchAll>
    <PingarLastProcessed xmlns="ff300edf-a821-4813-ae23-f144a805ade8" xsi:nil="true"/>
    <m57f14219dcc4b68b912ee87d6b1ddba xmlns="ff300edf-a821-4813-ae23-f144a805ade8">
      <Terms xmlns="http://schemas.microsoft.com/office/infopath/2007/PartnerControls"/>
    </m57f14219dcc4b68b912ee87d6b1ddba>
    <b5885358d6c24831baec7a0d99fe25c5 xmlns="ff300edf-a821-4813-ae23-f144a805ade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5885358d6c24831baec7a0d99fe25c5>
    <TaxKeywordTaxHTField xmlns="ff300edf-a821-4813-ae23-f144a805ade8">
      <Terms xmlns="http://schemas.microsoft.com/office/infopath/2007/PartnerControls"/>
    </TaxKeywordTaxHTField>
    <_Status xmlns="http://schemas.microsoft.com/sharepoint/v3/fields" xsi:nil="true"/>
    <h083e40129b54928942f935d8f11551b xmlns="ff300edf-a821-4813-ae23-f144a805ade8">
      <Terms xmlns="http://schemas.microsoft.com/office/infopath/2007/PartnerControls">
        <TermInfo xmlns="http://schemas.microsoft.com/office/infopath/2007/PartnerControls">
          <TermName xmlns="http://schemas.microsoft.com/office/infopath/2007/PartnerControls">Project Documents</TermName>
          <TermId xmlns="http://schemas.microsoft.com/office/infopath/2007/PartnerControls">e23310af-d852-4dbc-a84f-d3678433745c</TermId>
        </TermInfo>
      </Terms>
    </h083e40129b54928942f935d8f11551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12D6-CEDB-48BC-939A-7EF9A7F80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f300edf-a821-4813-ae23-f144a805ad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81C08-6C9A-4349-BC07-EB9AFAF78332}">
  <ds:schemaRefs>
    <ds:schemaRef ds:uri="http://schemas.microsoft.com/sharepoint/v3/contenttype/forms"/>
  </ds:schemaRefs>
</ds:datastoreItem>
</file>

<file path=customXml/itemProps3.xml><?xml version="1.0" encoding="utf-8"?>
<ds:datastoreItem xmlns:ds="http://schemas.openxmlformats.org/officeDocument/2006/customXml" ds:itemID="{B37270F8-50C9-4114-8305-61A3F9CE965F}">
  <ds:schemaRefs>
    <ds:schemaRef ds:uri="http://schemas.microsoft.com/office/2006/metadata/properties"/>
    <ds:schemaRef ds:uri="http://schemas.microsoft.com/office/infopath/2007/PartnerControls"/>
    <ds:schemaRef ds:uri="01be4277-2979-4a68-876d-b92b25fceece"/>
    <ds:schemaRef ds:uri="ff300edf-a821-4813-ae23-f144a805ade8"/>
    <ds:schemaRef ds:uri="http://schemas.microsoft.com/sharepoint/v3/fields"/>
  </ds:schemaRefs>
</ds:datastoreItem>
</file>

<file path=customXml/itemProps4.xml><?xml version="1.0" encoding="utf-8"?>
<ds:datastoreItem xmlns:ds="http://schemas.openxmlformats.org/officeDocument/2006/customXml" ds:itemID="{FF4701D8-9636-44A1-B097-CD9CA13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Pascoe</dc:creator>
  <cp:keywords/>
  <dc:description/>
  <cp:lastModifiedBy>Rowena Burton</cp:lastModifiedBy>
  <cp:revision>4</cp:revision>
  <cp:lastPrinted>2016-12-21T01:58:00Z</cp:lastPrinted>
  <dcterms:created xsi:type="dcterms:W3CDTF">2017-12-11T01:44:00Z</dcterms:created>
  <dcterms:modified xsi:type="dcterms:W3CDTF">2017-12-18T01:41:00Z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0x0101005496552013C0BA46BE88192D5C6EB20B00BC7B51C3C3DA487E91D1E0ED95F8C85C00B613AC4768202F4C8CF64EAE117264E4</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PingarMPI_Terms">
    <vt:lpwstr/>
  </property>
  <property fmtid="{D5CDD505-2E9C-101B-9397-08002B2CF9AE}" pid="6" name="C3Topic">
    <vt:lpwstr/>
  </property>
  <property fmtid="{D5CDD505-2E9C-101B-9397-08002B2CF9AE}" pid="7" name="MPIGIADocumentType">
    <vt:lpwstr>6201;#Project Documents|e23310af-d852-4dbc-a84f-d3678433745c</vt:lpwstr>
  </property>
  <property fmtid="{D5CDD505-2E9C-101B-9397-08002B2CF9AE}" pid="8" name="RecordPoint_WorkflowType">
    <vt:lpwstr>ActiveSubmitStub</vt:lpwstr>
  </property>
  <property fmtid="{D5CDD505-2E9C-101B-9397-08002B2CF9AE}" pid="9" name="RecordPoint_ActiveItemSiteId">
    <vt:lpwstr>{3e5d44e2-1180-42f4-943b-5a84801c6665}</vt:lpwstr>
  </property>
  <property fmtid="{D5CDD505-2E9C-101B-9397-08002B2CF9AE}" pid="10" name="RecordPoint_ActiveItemListId">
    <vt:lpwstr>{ed740a5a-205d-401e-87e1-f7184cef04ce}</vt:lpwstr>
  </property>
  <property fmtid="{D5CDD505-2E9C-101B-9397-08002B2CF9AE}" pid="11" name="RecordPoint_ActiveItemUniqueId">
    <vt:lpwstr>{a842b928-3598-49db-b6d4-b16abb06798e}</vt:lpwstr>
  </property>
  <property fmtid="{D5CDD505-2E9C-101B-9397-08002B2CF9AE}" pid="12" name="RecordPoint_ActiveItemWebId">
    <vt:lpwstr>{86708e69-1f7b-4330-ba6a-39c230a55692}</vt:lpwstr>
  </property>
  <property fmtid="{D5CDD505-2E9C-101B-9397-08002B2CF9AE}" pid="13" name="RecordPoint_RecordNumberSubmitted">
    <vt:lpwstr>R0000403012</vt:lpwstr>
  </property>
  <property fmtid="{D5CDD505-2E9C-101B-9397-08002B2CF9AE}" pid="14" name="RecordPoint_SubmissionCompleted">
    <vt:lpwstr>2017-11-22T18:30:55.0194837+13:00</vt:lpwstr>
  </property>
</Properties>
</file>